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48DA" w14:textId="2BCF542B" w:rsidR="00EB7064" w:rsidRDefault="00EB7064" w:rsidP="00691909">
      <w:pPr>
        <w:rPr>
          <w:rFonts w:ascii="Verdana" w:hAnsi="Verdana"/>
          <w:sz w:val="20"/>
          <w:szCs w:val="20"/>
          <w:lang w:val="it-IT"/>
        </w:rPr>
      </w:pPr>
    </w:p>
    <w:p w14:paraId="4BDCB011" w14:textId="77777777" w:rsidR="000C034A" w:rsidRPr="008913C9" w:rsidRDefault="000C034A" w:rsidP="00691909">
      <w:pPr>
        <w:rPr>
          <w:rFonts w:ascii="Verdana" w:hAnsi="Verdana"/>
          <w:sz w:val="20"/>
          <w:szCs w:val="20"/>
          <w:lang w:val="it-IT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11670"/>
      </w:tblGrid>
      <w:tr w:rsidR="00691909" w:rsidRPr="000A69DB" w14:paraId="207248DF" w14:textId="77777777" w:rsidTr="00742551">
        <w:tc>
          <w:tcPr>
            <w:tcW w:w="250" w:type="dxa"/>
            <w:tcBorders>
              <w:right w:val="nil"/>
            </w:tcBorders>
            <w:shd w:val="clear" w:color="auto" w:fill="1F497D"/>
          </w:tcPr>
          <w:p w14:paraId="207248DB" w14:textId="77777777" w:rsidR="00691909" w:rsidRPr="008913C9" w:rsidRDefault="00691909" w:rsidP="00742551">
            <w:pPr>
              <w:spacing w:before="120"/>
              <w:ind w:left="278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14789" w:type="dxa"/>
            <w:gridSpan w:val="3"/>
            <w:tcBorders>
              <w:left w:val="nil"/>
              <w:right w:val="nil"/>
            </w:tcBorders>
            <w:shd w:val="clear" w:color="auto" w:fill="1F497D"/>
          </w:tcPr>
          <w:p w14:paraId="207248DC" w14:textId="7D17A2DE" w:rsidR="00365204" w:rsidRPr="007C0B02" w:rsidRDefault="00691909" w:rsidP="007C0B02">
            <w:pPr>
              <w:spacing w:before="120" w:after="120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</w:pP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Documento di consultazione n.</w:t>
            </w:r>
            <w:r w:rsidR="00E37936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 xml:space="preserve"> </w:t>
            </w:r>
            <w:r w:rsidR="006141A5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</w:t>
            </w:r>
            <w:r w:rsidRPr="007730F3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/20</w:t>
            </w:r>
            <w:r w:rsidR="0008459C">
              <w:rPr>
                <w:rFonts w:ascii="Verdana" w:hAnsi="Verdana"/>
                <w:b/>
                <w:color w:val="FFFFFF"/>
                <w:sz w:val="20"/>
                <w:szCs w:val="20"/>
                <w:lang w:val="it-IT"/>
              </w:rPr>
              <w:t>22</w:t>
            </w:r>
          </w:p>
          <w:p w14:paraId="207248DD" w14:textId="77777777" w:rsidR="00B808D8" w:rsidRPr="008A19B5" w:rsidRDefault="00B808D8" w:rsidP="008A19B5">
            <w:pPr>
              <w:pStyle w:val="Default"/>
              <w:rPr>
                <w:lang w:val="it-IT"/>
              </w:rPr>
            </w:pPr>
          </w:p>
          <w:p w14:paraId="6D9FBF43" w14:textId="77777777" w:rsidR="00691909" w:rsidRDefault="0008459C" w:rsidP="00DE3DD2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</w:pPr>
            <w:r w:rsidRPr="0008459C">
              <w:rPr>
                <w:rFonts w:ascii="Verdana" w:hAnsi="Verdana"/>
                <w:b/>
                <w:bCs/>
                <w:color w:val="FFFFFF" w:themeColor="background1"/>
                <w:sz w:val="22"/>
                <w:szCs w:val="22"/>
                <w:lang w:val="it-IT"/>
              </w:rPr>
              <w:t>MODIFICHE AL REGOLAMENTO ISVAP N. 7 DEL 13 LUGLIO 2007 CONCERNENTE GLI SCHEMI PER IL BILANCIO DELLE IMPRESE DI ASSICURAZIONE E DI RIASSICURAZIONE CHE SONO TENUTE ALL’ADOZIONE DEI PRINCIPI CONTABILI INTERNAZIONALI DI CUI AL TITOLO VIII (BILANCIO E SCRITTURE CONTABILI), CAPO I (DISPOSIZIONI GENERALI SUL BILANCIO), CAPO II (BILANCIO DI ESERCIZIO), CAPO III (BILANCIO CONSOLIDATO) E CAPO V (REVISIONE CONTABILE) DEL DECRETO LEGISLATIVO 7 SETTEMBRE 2005, N. 209 - CODICE DELLE ASSICURAZIONI PRIVATE</w:t>
            </w:r>
          </w:p>
          <w:p w14:paraId="207248DE" w14:textId="18AE3123" w:rsidR="004115A7" w:rsidRPr="009B22E1" w:rsidRDefault="004115A7" w:rsidP="00DE3DD2">
            <w:pPr>
              <w:autoSpaceDE w:val="0"/>
              <w:autoSpaceDN w:val="0"/>
              <w:adjustRightInd w:val="0"/>
              <w:spacing w:after="120"/>
              <w:ind w:right="330"/>
              <w:jc w:val="both"/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val="it-IT" w:eastAsia="it-IT"/>
              </w:rPr>
            </w:pPr>
          </w:p>
        </w:tc>
      </w:tr>
      <w:tr w:rsidR="00691909" w:rsidRPr="000A69DB" w14:paraId="207248E6" w14:textId="77777777" w:rsidTr="00A40EA5">
        <w:trPr>
          <w:trHeight w:val="3517"/>
        </w:trPr>
        <w:tc>
          <w:tcPr>
            <w:tcW w:w="150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7248E0" w14:textId="77777777" w:rsidR="00691909" w:rsidRPr="007E7CE1" w:rsidRDefault="00691909" w:rsidP="00742551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</w:pPr>
            <w:r w:rsidRPr="007E7CE1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  <w:lang w:val="it-IT"/>
              </w:rPr>
              <w:t>Legenda</w:t>
            </w:r>
          </w:p>
          <w:p w14:paraId="207248E1" w14:textId="77777777" w:rsidR="00691909" w:rsidRDefault="00691909" w:rsidP="00742551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dovranno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loro denominazione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(anche in forma abbreviata).</w:t>
            </w:r>
          </w:p>
          <w:p w14:paraId="207248E2" w14:textId="77777777" w:rsidR="00691909" w:rsidRPr="00D83E91" w:rsidRDefault="00691909" w:rsidP="00742551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Nella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riga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 i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singoli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soggetti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potranno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inserire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commenti di carattere generale.</w:t>
            </w:r>
          </w:p>
          <w:p w14:paraId="207248E3" w14:textId="182D4FF0" w:rsidR="00691909" w:rsidRPr="000C157E" w:rsidRDefault="00691909" w:rsidP="000728E2">
            <w:pPr>
              <w:spacing w:before="12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colonn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“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”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e</w:t>
            </w:r>
            <w:r w:rsidR="00A40EA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“Comma” andranno inseriti,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rispettivamente, 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l’articolo e il comma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cui si riferisce l’osservazione e la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proposta di </w:t>
            </w:r>
            <w:r w:rsidRP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modifica.</w:t>
            </w:r>
          </w:p>
          <w:p w14:paraId="1D606B4D" w14:textId="77777777" w:rsidR="00A74C14" w:rsidRPr="000C157E" w:rsidRDefault="00A74C14" w:rsidP="000728E2">
            <w:pPr>
              <w:spacing w:before="12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  <w:p w14:paraId="1AF24720" w14:textId="6E635F96" w:rsidR="00A74C14" w:rsidRPr="000C157E" w:rsidRDefault="00A74C14" w:rsidP="000728E2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Riguardo agli schemi di bilancio e alle relative istruzioni </w:t>
            </w:r>
            <w:r w:rsidR="003F3EAB" w:rsidRP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i singoli soggetti dovranno utilizza</w:t>
            </w:r>
            <w:r w:rsidR="00141C9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re, rispettivamente, la Parte A</w:t>
            </w:r>
            <w:r w:rsid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41C9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 la Parte B</w:t>
            </w:r>
            <w:r w:rsidR="003F3EAB" w:rsidRP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di seguito riportate. </w:t>
            </w:r>
            <w:r w:rsidR="00010AB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Le Parti</w:t>
            </w:r>
            <w:r w:rsidR="00141C9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A</w:t>
            </w:r>
            <w:r w:rsidR="00B8725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010AB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 B andranno</w:t>
            </w:r>
            <w:r w:rsidR="00B8725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compilat</w:t>
            </w:r>
            <w:r w:rsidR="00010AB5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</w:t>
            </w:r>
            <w:r w:rsidR="00B8725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distintamente per ciascuno degli schemi di bilancio cui si riferisce l’osservazione e la proposta di modifica</w:t>
            </w:r>
            <w:r w:rsidR="00CE28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CE2821" w:rsidRPr="00CE28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(Stato Patrimoniale, Conto Economico, Conto Economico Complessivo, Prospetto delle Variazioni del Patrimonio Netto</w:t>
            </w:r>
            <w:r w:rsidR="00CE28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 w:rsidR="00CE2821" w:rsidRPr="00CE282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Rendiconto Finanziario, Nota integrativa)</w:t>
            </w:r>
            <w:r w:rsidR="00B8725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. </w:t>
            </w:r>
            <w:r w:rsidRP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</w:t>
            </w:r>
            <w:r w:rsid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 colonne “Voc</w:t>
            </w:r>
            <w:r w:rsidR="00141C97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e” e “Tabella” andranno inserite</w:t>
            </w:r>
            <w:r w:rsid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, rispettivamente, la voce e/o</w:t>
            </w:r>
            <w:r w:rsidRP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la tabella </w:t>
            </w:r>
            <w:r w:rsidR="00B8725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cui si riferisce l’osservazione e la proposta di modifica. </w:t>
            </w:r>
            <w:r w:rsidRP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 </w:t>
            </w:r>
          </w:p>
          <w:p w14:paraId="7AF44DBF" w14:textId="77777777" w:rsidR="00A74C14" w:rsidRPr="000C157E" w:rsidRDefault="00A74C14" w:rsidP="004C2A2D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207248E4" w14:textId="77777777" w:rsidR="00691909" w:rsidRPr="00D83E91" w:rsidRDefault="00691909" w:rsidP="00742551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0C157E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Nella colonna “Osservazioni e proposte”</w:t>
            </w:r>
            <w:r w:rsidRPr="00D83E91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andranno inserite le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 xml:space="preserve"> osservazioni specifiche e le proposte di modifica.</w:t>
            </w:r>
          </w:p>
          <w:p w14:paraId="207248E5" w14:textId="77777777" w:rsidR="00691909" w:rsidRPr="00C91C9B" w:rsidRDefault="00691909" w:rsidP="00742551">
            <w:pPr>
              <w:spacing w:before="12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B10BCE" w14:paraId="207248E9" w14:textId="77777777" w:rsidTr="00742551">
        <w:tc>
          <w:tcPr>
            <w:tcW w:w="3369" w:type="dxa"/>
            <w:gridSpan w:val="3"/>
            <w:shd w:val="clear" w:color="auto" w:fill="F2F2F2"/>
            <w:vAlign w:val="center"/>
          </w:tcPr>
          <w:p w14:paraId="207248E7" w14:textId="77777777" w:rsidR="00691909" w:rsidRDefault="00691909" w:rsidP="00742551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Commentatore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</w:tcPr>
          <w:p w14:paraId="255F897B" w14:textId="77777777" w:rsidR="004115A7" w:rsidRDefault="004115A7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5BF9D379" w14:textId="77AC0344" w:rsidR="004115A7" w:rsidRDefault="004115A7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Ordine degli Attuari</w:t>
            </w:r>
          </w:p>
          <w:p w14:paraId="207248E8" w14:textId="2D421A5B" w:rsidR="004115A7" w:rsidRPr="005F6C4E" w:rsidRDefault="004115A7" w:rsidP="005F6C4E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0A69DB" w14:paraId="207248EC" w14:textId="77777777" w:rsidTr="004C2F9D">
        <w:trPr>
          <w:trHeight w:val="1212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7248EA" w14:textId="77777777" w:rsidR="00691909" w:rsidRDefault="005A32EB" w:rsidP="00742551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lastRenderedPageBreak/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3DDF1B2" w14:textId="4024132B" w:rsidR="00CB1221" w:rsidRPr="006C7535" w:rsidRDefault="00266961" w:rsidP="00881B56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Da</w:t>
            </w:r>
            <w:r w:rsidR="008A2BBA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ll’analisi delle modifiche al regolamento ISVAP </w:t>
            </w:r>
            <w:r w:rsidR="00EB3514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n.7 del 13 luglio 2007 </w:t>
            </w:r>
            <w:r w:rsidR="008A2BBA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e allegati</w:t>
            </w:r>
            <w:r w:rsidR="00EB3514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</w:t>
            </w:r>
            <w:r w:rsidR="00C06C04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proposte nella presente consultazione</w:t>
            </w:r>
            <w:r w:rsidR="008A2BBA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 l’Ordine degli Attuari ripo</w:t>
            </w:r>
            <w:r w:rsidR="00C06C04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r</w:t>
            </w:r>
            <w:r w:rsidR="008A2BBA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ta </w:t>
            </w:r>
            <w:r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le seguenti osservazioni generali e di dettaglio.</w:t>
            </w:r>
          </w:p>
          <w:p w14:paraId="6FCC7558" w14:textId="21A73527" w:rsidR="00266961" w:rsidRPr="00D8285B" w:rsidRDefault="00E326E2" w:rsidP="00881B56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Abbiamo compreso il limit</w:t>
            </w:r>
            <w:r w:rsidR="00855013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e </w:t>
            </w:r>
            <w:r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giuridico</w:t>
            </w:r>
            <w:r w:rsidR="006F3C49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</w:t>
            </w:r>
            <w:r w:rsidRPr="00534A4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derivante della normativa primaria</w:t>
            </w:r>
            <w:r w:rsidR="006F3C49" w:rsidRPr="00534A4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</w:t>
            </w:r>
            <w:r w:rsidRPr="00D408F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su cui si f</w:t>
            </w:r>
            <w:r w:rsidRPr="00F22F68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onda </w:t>
            </w:r>
            <w:r w:rsidR="006F3C49" w:rsidRPr="00F22F68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la</w:t>
            </w:r>
            <w:r w:rsidR="006F3C49" w:rsidRPr="00AE2412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AE2412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presente </w:t>
            </w:r>
            <w:r w:rsidR="00D53E20" w:rsidRPr="00AE2412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modifica</w:t>
            </w:r>
            <w:r w:rsidR="00855013" w:rsidRPr="00AE2412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</w:t>
            </w:r>
            <w:r w:rsidR="00D53E20" w:rsidRPr="00AE2412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che </w:t>
            </w:r>
            <w:r w:rsidR="00402AE7" w:rsidRPr="00733323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circoscrive </w:t>
            </w:r>
            <w:r w:rsidR="00D53E20" w:rsidRPr="004F12E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</w:t>
            </w:r>
            <w:r w:rsidR="00D53E2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’intervento di codesta Autorità </w:t>
            </w:r>
            <w:r w:rsidR="00855013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alla so</w:t>
            </w:r>
            <w:r w:rsidR="00EB3514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la</w:t>
            </w:r>
            <w:r w:rsidR="00D53E2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revisione e rideterminazione degli schemi di bilancio</w:t>
            </w:r>
            <w:r w:rsidR="00AC2BAB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.</w:t>
            </w:r>
            <w:r w:rsidR="00114BE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402AE7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Siamo però consapevoli che, s</w:t>
            </w:r>
            <w:r w:rsidR="00AC2BAB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tante la profonda innovazione introdotta </w:t>
            </w:r>
            <w:r w:rsidR="00402AE7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dai</w:t>
            </w:r>
            <w:r w:rsidR="00AC2BAB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principi IFRS17 e IFRS</w:t>
            </w:r>
            <w:r w:rsidR="00B219F4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9 nella</w:t>
            </w:r>
            <w:r w:rsidR="00AC2BAB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valuta</w:t>
            </w:r>
            <w:r w:rsidR="00B219F4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zione</w:t>
            </w:r>
            <w:r w:rsidR="00AC2BAB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delle poste contabili </w:t>
            </w:r>
            <w:r w:rsidR="00B219F4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relative ai contratti assicurativi e di investimento riconducibili all’attività assicurativa, si</w:t>
            </w:r>
            <w:r w:rsidR="00114BE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a necessario </w:t>
            </w:r>
            <w:r w:rsidR="004F5DF2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che le Imprese implementino </w:t>
            </w:r>
            <w:r w:rsidR="00114BE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un adeguato livello di </w:t>
            </w:r>
            <w:r w:rsidR="00114BEE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governance</w:t>
            </w:r>
            <w:r w:rsidR="00114BE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del processo di </w:t>
            </w:r>
            <w:r w:rsidR="00114BEE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reporting</w:t>
            </w:r>
            <w:r w:rsidR="004F5DF2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="004F5DF2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così profondamente innovato</w:t>
            </w:r>
            <w:r w:rsidR="00CB6FF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.</w:t>
            </w:r>
            <w:r w:rsidR="0014188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CB6FF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Premesso quanto sopra si </w:t>
            </w:r>
            <w:r w:rsidR="00B219F4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suggerisce</w:t>
            </w:r>
          </w:p>
          <w:p w14:paraId="4CE63304" w14:textId="5D428682" w:rsidR="00AC2BAB" w:rsidRPr="00D8285B" w:rsidRDefault="0009570F" w:rsidP="00F053AD">
            <w:pPr>
              <w:pStyle w:val="Paragrafoelenco"/>
              <w:numPr>
                <w:ilvl w:val="0"/>
                <w:numId w:val="46"/>
              </w:num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pur garantendo un adeguato livello di autonomia organizzativa delle Imprese, di richiedere alle stesse </w:t>
            </w:r>
            <w:r w:rsidR="00CB6FF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l’implementazione di un </w:t>
            </w: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presidio </w:t>
            </w:r>
            <w:r w:rsidR="00E2262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proporzionato </w:t>
            </w:r>
            <w:r w:rsidR="0005298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delle diverse fasi che compongono il</w:t>
            </w:r>
            <w:r w:rsidR="00E2262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266961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processo di </w:t>
            </w:r>
            <w:r w:rsidR="0005298E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reporting</w:t>
            </w:r>
            <w:r w:rsidR="00E2262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 w:rsidR="0005298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garantendo la </w:t>
            </w:r>
            <w:proofErr w:type="spellStart"/>
            <w:r w:rsidR="0005298E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fit</w:t>
            </w:r>
            <w:proofErr w:type="spellEnd"/>
            <w:r w:rsidR="0005298E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&amp; </w:t>
            </w:r>
            <w:proofErr w:type="spellStart"/>
            <w:r w:rsidR="0005298E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properness</w:t>
            </w:r>
            <w:proofErr w:type="spellEnd"/>
            <w:r w:rsidR="0005298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degli attori coinvolti nei</w:t>
            </w:r>
            <w:r w:rsidR="00CB6FF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principali</w:t>
            </w:r>
            <w:r w:rsidR="00E2262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perimetri di intervento</w:t>
            </w:r>
            <w:r w:rsidR="002874F3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(</w:t>
            </w:r>
            <w:r w:rsidR="00E2262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quello attuariale e quello contabile</w:t>
            </w:r>
            <w:r w:rsidR="002874F3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)</w:t>
            </w:r>
            <w:r w:rsidR="00CB6FF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;</w:t>
            </w:r>
          </w:p>
          <w:p w14:paraId="3D4D1D09" w14:textId="0C2DAF36" w:rsidR="002761C3" w:rsidRPr="00D8285B" w:rsidRDefault="006C6466" w:rsidP="00F053AD">
            <w:pPr>
              <w:pStyle w:val="Paragrafoelenco"/>
              <w:numPr>
                <w:ilvl w:val="0"/>
                <w:numId w:val="46"/>
              </w:num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appare necessario che calcolo e validazione siano soggetti al cosiddetto </w:t>
            </w:r>
            <w:proofErr w:type="spellStart"/>
            <w:r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four</w:t>
            </w:r>
            <w:proofErr w:type="spellEnd"/>
            <w:r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eyes</w:t>
            </w:r>
            <w:proofErr w:type="spellEnd"/>
            <w:r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principle</w:t>
            </w:r>
            <w:proofErr w:type="spellEnd"/>
            <w:r w:rsidR="00CB6FF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;</w:t>
            </w: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65F454FD" w14:textId="13F15ECD" w:rsidR="00E22629" w:rsidRPr="00D8285B" w:rsidRDefault="002761C3" w:rsidP="00F053AD">
            <w:pPr>
              <w:pStyle w:val="Paragrafoelenco"/>
              <w:numPr>
                <w:ilvl w:val="0"/>
                <w:numId w:val="46"/>
              </w:num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appare altresì opportuno </w:t>
            </w:r>
            <w:r w:rsidR="006C6466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che </w:t>
            </w:r>
            <w:r w:rsidR="00CB6FF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nel</w:t>
            </w:r>
            <w:r w:rsidR="006C6466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la </w:t>
            </w:r>
            <w:r w:rsidR="003C78E3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funzione di riporto</w:t>
            </w:r>
            <w:r w:rsidR="0065620A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al CdA</w:t>
            </w:r>
            <w:r w:rsidR="003C78E3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 quale che sia l’area di sua collocazione</w:t>
            </w:r>
            <w:r w:rsidR="00CB6FF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(CFO-CRO)</w:t>
            </w:r>
            <w:r w:rsidR="003C78E3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 w:rsidR="00CB6FFF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si</w:t>
            </w:r>
            <w:r w:rsidR="0065620A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a prevista</w:t>
            </w:r>
            <w:r w:rsidR="003C78E3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la presenza di competenze </w:t>
            </w: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non solo contabili ma anche</w:t>
            </w:r>
            <w:r w:rsidR="003C78E3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attuariali al fine di garantire </w:t>
            </w: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un’efficace e consapevole rappresentazione delle tematiche valutative e delle </w:t>
            </w:r>
            <w:r w:rsidR="00114BE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scelte adottate nelle </w:t>
            </w: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numerose aree di </w:t>
            </w:r>
            <w:r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judgement</w:t>
            </w:r>
            <w:r w:rsidR="00114BE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previste da</w:t>
            </w:r>
            <w:r w:rsidR="00380DE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</w:t>
            </w:r>
            <w:r w:rsidR="00114BE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principi</w:t>
            </w:r>
            <w:r w:rsidR="00224F8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65620A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che hanno determinato l’intera posizione dell’Impresa (situazione patrimoniale e risultato di esercizio)</w:t>
            </w:r>
          </w:p>
          <w:p w14:paraId="02D2E6DE" w14:textId="2CB82D2F" w:rsidR="00114BEE" w:rsidRPr="00D8285B" w:rsidRDefault="000F7553" w:rsidP="0065620A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E66B42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</w:t>
            </w:r>
            <w:r w:rsidR="0065620A" w:rsidRPr="00E66B42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</w:t>
            </w:r>
            <w:r w:rsidR="0065620A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14BE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tal senso</w:t>
            </w:r>
            <w:r w:rsidR="0065620A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, </w:t>
            </w:r>
            <w:r w:rsidR="00EE0CA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in ambito europeo ed internazionale, gli organismi attuariali sono andati oltre</w:t>
            </w:r>
            <w:r w:rsidR="0059666A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</w:t>
            </w:r>
            <w:r w:rsidR="00EE0CA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EB3A1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proponendo</w:t>
            </w:r>
            <w:r w:rsidR="00EE0CA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EB3A1E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l’introduzione di</w:t>
            </w:r>
            <w:r w:rsidR="00EE0CA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una figura specifica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indipendente</w:t>
            </w:r>
            <w:r w:rsidRPr="00E66B42">
              <w:rPr>
                <w:rFonts w:ascii="Verdana" w:hAnsi="Verdana"/>
                <w:bCs/>
                <w:color w:val="000000"/>
                <w:sz w:val="20"/>
                <w:szCs w:val="20"/>
                <w:u w:val="single"/>
                <w:lang w:val="it-IT"/>
              </w:rPr>
              <w:t xml:space="preserve"> </w:t>
            </w:r>
            <w:r w:rsidR="00EE0CA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(il </w:t>
            </w:r>
            <w:r w:rsidR="0059666A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c.d. </w:t>
            </w:r>
            <w:r w:rsidR="00EE0CA0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Reporting Actuary</w:t>
            </w:r>
            <w:r w:rsidR="00EE0CA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) per garantire la robustezza e l’efficacia del </w:t>
            </w:r>
            <w:r w:rsidR="00932C9A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processo valutativo e di </w:t>
            </w:r>
            <w:r w:rsidR="00932C9A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reporting </w:t>
            </w:r>
            <w:r w:rsidR="00932C9A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finanziario.</w:t>
            </w:r>
          </w:p>
          <w:p w14:paraId="70E0672C" w14:textId="31CEE351" w:rsidR="00EB3A1E" w:rsidRPr="00D8285B" w:rsidRDefault="00EB3A1E" w:rsidP="0065620A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In ambito locale, considerata la struttura della normativa proposta, si suggerisce di valutare l’introduzione di un </w:t>
            </w:r>
            <w:r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sign</w:t>
            </w:r>
            <w:r w:rsidR="00F053AD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-</w:t>
            </w:r>
            <w:r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off</w:t>
            </w: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F053AD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attuariale per il perimetro di valutazione del </w:t>
            </w:r>
            <w:r w:rsidR="00DD38C5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fulfilment</w:t>
            </w:r>
            <w:r w:rsidR="00F053AD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cashflow</w:t>
            </w:r>
            <w:r w:rsidR="00F053AD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e del </w:t>
            </w:r>
            <w:r w:rsidR="002238EE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CSM</w:t>
            </w:r>
            <w:r w:rsidR="00F053AD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="00DD38C5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sia </w:t>
            </w:r>
            <w:r w:rsidR="00F053AD" w:rsidRPr="00D8285B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at inception</w:t>
            </w:r>
            <w:r w:rsidR="00D719F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DD38C5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ch</w:t>
            </w:r>
            <w:r w:rsidR="0076667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e nell</w:t>
            </w:r>
            <w:r w:rsidR="00EF341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a</w:t>
            </w:r>
            <w:r w:rsidR="0076667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su</w:t>
            </w:r>
            <w:r w:rsidR="00EF341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a</w:t>
            </w:r>
            <w:r w:rsidR="00766670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EF3419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evoluzione temporale</w:t>
            </w:r>
            <w:r w:rsidR="00DD38C5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.</w:t>
            </w:r>
          </w:p>
          <w:p w14:paraId="2F16FAF2" w14:textId="6962E705" w:rsidR="00082D5E" w:rsidRPr="00E66B42" w:rsidRDefault="00082D5E" w:rsidP="00E66B42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E66B42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Si ritiene necessario che la struttura dei presidi proposta, come ulteriormente rinforzata con lo schema riportato nelle presenti osservazioni di carattere generale, venga estesa a tutte le imprese tenute all’applicazione dei principi IFRS 17 e IFRS 9 anche ai fini del bilancio consolidato della capogruppo o, comunque, quantomeno con riferimento alla capogruppo stessa che è direttamente responsabile della relativa redazione.</w:t>
            </w:r>
          </w:p>
          <w:p w14:paraId="0FB05FC0" w14:textId="77777777" w:rsidR="00082D5E" w:rsidRPr="00D8285B" w:rsidRDefault="00082D5E" w:rsidP="00881B56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09F6E319" w14:textId="605737C2" w:rsidR="006C7535" w:rsidRPr="00D8285B" w:rsidRDefault="00932C9A" w:rsidP="00D8285B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Passando a tematiche più di dettaglio l’Ordine degli Attuari </w:t>
            </w:r>
            <w:r w:rsidR="00F053AD" w:rsidRPr="00D8285B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riport</w:t>
            </w:r>
            <w:r w:rsidR="00F053AD" w:rsidRPr="00534A4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a le seguenti osservazioni.</w:t>
            </w:r>
          </w:p>
          <w:p w14:paraId="2CD7FADE" w14:textId="003811FE" w:rsidR="00CA28E4" w:rsidRDefault="0014188F" w:rsidP="006C7535">
            <w:pPr>
              <w:jc w:val="both"/>
              <w:rPr>
                <w:rFonts w:ascii="Verdana" w:hAnsi="Verdana"/>
                <w:bCs/>
                <w:color w:val="00B0F0"/>
                <w:sz w:val="20"/>
                <w:szCs w:val="20"/>
                <w:lang w:val="it-IT"/>
              </w:rPr>
            </w:pPr>
            <w:r w:rsidRPr="00534A4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Nel testo in consultazion</w:t>
            </w:r>
            <w:r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e</w:t>
            </w:r>
            <w:r w:rsidR="004D70C2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</w:t>
            </w:r>
            <w:r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si </w:t>
            </w:r>
            <w:r w:rsidR="002F4133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cita </w:t>
            </w:r>
            <w:r w:rsidR="001326D8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frequentemente la “base di aggregazione 5” </w:t>
            </w:r>
            <w:r w:rsidR="004D70C2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cioè </w:t>
            </w:r>
            <w:r w:rsidR="001326D8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quella che comprende </w:t>
            </w:r>
            <w:r w:rsidR="001A321C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i contratti </w:t>
            </w:r>
            <w:r w:rsidR="001A321C" w:rsidRPr="006C7535">
              <w:rPr>
                <w:rFonts w:ascii="Verdana" w:hAnsi="Verdana"/>
                <w:bCs/>
                <w:color w:val="000000"/>
                <w:sz w:val="20"/>
                <w:szCs w:val="20"/>
                <w:u w:val="single"/>
                <w:lang w:val="it-IT"/>
              </w:rPr>
              <w:t>di investimento</w:t>
            </w:r>
            <w:r w:rsidR="001A321C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emessi con elementi di partecipazione discrezional</w:t>
            </w:r>
            <w:r w:rsidR="009654EB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i – segmento vita e “base di aggregazione 1” quella che comprende </w:t>
            </w:r>
            <w:r w:rsidR="00FD4814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contratti </w:t>
            </w:r>
            <w:r w:rsidR="00FD4814" w:rsidRPr="006C7535">
              <w:rPr>
                <w:rFonts w:ascii="Verdana" w:hAnsi="Verdana"/>
                <w:bCs/>
                <w:color w:val="000000"/>
                <w:sz w:val="20"/>
                <w:szCs w:val="20"/>
                <w:u w:val="single"/>
                <w:lang w:val="it-IT"/>
              </w:rPr>
              <w:t>assicurativi</w:t>
            </w:r>
            <w:r w:rsidR="00FD4814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emessi con elementi di </w:t>
            </w:r>
            <w:r w:rsidR="00FD4814" w:rsidRPr="006C7535">
              <w:rPr>
                <w:rFonts w:ascii="Verdana" w:hAnsi="Verdana"/>
                <w:bCs/>
                <w:color w:val="000000"/>
                <w:sz w:val="20"/>
                <w:szCs w:val="20"/>
                <w:u w:val="single"/>
                <w:lang w:val="it-IT"/>
              </w:rPr>
              <w:t>partecipazione diretta</w:t>
            </w:r>
            <w:r w:rsidR="00FD4814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. – segmento vita.</w:t>
            </w:r>
            <w:r w:rsidR="00534A4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CA28E4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Si </w:t>
            </w:r>
            <w:r w:rsidR="00CA28E4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lastRenderedPageBreak/>
              <w:t xml:space="preserve">chiede di chiarire se sia possibile utilizzare </w:t>
            </w:r>
            <w:r w:rsidR="00A63F5E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la base di aggregazione 1 per tutti i contratti rivalutabili ed ibridi con componenti </w:t>
            </w:r>
            <w:r w:rsidR="00A63F5E" w:rsidRPr="00534A4D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unit linked</w:t>
            </w:r>
            <w:r w:rsidR="00A63F5E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e rivalutabile, se questi</w:t>
            </w:r>
            <w:r w:rsidR="007136F6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FA5093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abbiano </w:t>
            </w:r>
            <w:r w:rsidR="00257A9F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(come unica condizione necessaria) </w:t>
            </w:r>
            <w:r w:rsidR="00FA5093" w:rsidRPr="006C753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le caratteristiche e proprietà per essere soggette al modello VFA.</w:t>
            </w:r>
            <w:r w:rsidR="007136F6" w:rsidRPr="006C7535">
              <w:rPr>
                <w:rFonts w:ascii="Verdana" w:hAnsi="Verdana"/>
                <w:bCs/>
                <w:color w:val="00B0F0"/>
                <w:sz w:val="20"/>
                <w:szCs w:val="20"/>
                <w:lang w:val="it-IT"/>
              </w:rPr>
              <w:t xml:space="preserve"> </w:t>
            </w:r>
          </w:p>
          <w:p w14:paraId="207248EB" w14:textId="02525D75" w:rsidR="00534A4D" w:rsidRPr="006C7535" w:rsidRDefault="00534A4D" w:rsidP="006C7535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0A69DB" w14:paraId="207248EE" w14:textId="77777777" w:rsidTr="00742551">
        <w:tc>
          <w:tcPr>
            <w:tcW w:w="150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207248ED" w14:textId="77777777" w:rsidR="00691909" w:rsidRPr="00A95B37" w:rsidRDefault="00691909" w:rsidP="00742551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691909" w:rsidRPr="004E18F2" w14:paraId="207248F2" w14:textId="77777777" w:rsidTr="00742551">
        <w:tc>
          <w:tcPr>
            <w:tcW w:w="1668" w:type="dxa"/>
            <w:gridSpan w:val="2"/>
            <w:shd w:val="clear" w:color="auto" w:fill="F2F2F2"/>
            <w:vAlign w:val="center"/>
          </w:tcPr>
          <w:p w14:paraId="207248EF" w14:textId="77777777" w:rsidR="00691909" w:rsidRPr="008933FF" w:rsidRDefault="00691909" w:rsidP="00742551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Articolo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207248F0" w14:textId="77777777" w:rsidR="00691909" w:rsidRPr="008933FF" w:rsidRDefault="00691909" w:rsidP="00742551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Comma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14:paraId="207248F1" w14:textId="77777777" w:rsidR="00691909" w:rsidRPr="008933FF" w:rsidRDefault="00691909" w:rsidP="00742551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0A22BE" w:rsidRPr="000A69DB" w14:paraId="207248F6" w14:textId="77777777" w:rsidTr="005F6C4E">
        <w:trPr>
          <w:trHeight w:val="4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48F3" w14:textId="5FFCBE55" w:rsidR="000A22BE" w:rsidRPr="005F6C4E" w:rsidRDefault="000A22BE" w:rsidP="000A22B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11-bis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48F4" w14:textId="7DB67A9A" w:rsidR="000A22BE" w:rsidRPr="005F6C4E" w:rsidRDefault="000A22BE" w:rsidP="000A22BE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A096" w14:textId="27E22048" w:rsidR="000A22BE" w:rsidRPr="000A22BE" w:rsidRDefault="000A22BE" w:rsidP="000A22BE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L’IFRS17 non prevede più la presenza di un test di congruità delle riserve tecniche, ossia il </w:t>
            </w:r>
            <w:r w:rsidRPr="00F22F68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Liability Adequacy Test</w:t>
            </w:r>
            <w:r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(LAT)</w:t>
            </w:r>
            <w:r w:rsidR="00867195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 né con riferimento alle riserve tecniche vita né alla riserva premi dei rami danni,</w:t>
            </w:r>
            <w:r w:rsidR="00867195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in quanto è una previsione dell’IFRS4. Essa trovava fondamento nell’utilizzo temporaneo dei criteri di valutazione </w:t>
            </w:r>
            <w:r w:rsidRPr="00F22F68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Local GAAP</w:t>
            </w:r>
            <w:r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per le riserve tecniche lorde ai fini del bilancio IAS/IFRS, previsione non più ripresa dall’IFRS17.</w:t>
            </w:r>
          </w:p>
          <w:p w14:paraId="17E2FD29" w14:textId="71471934" w:rsidR="000A22BE" w:rsidRPr="000A22BE" w:rsidRDefault="000A22BE" w:rsidP="000A22BE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Pertanto, la seguente frase</w:t>
            </w:r>
            <w:r w:rsidR="004E521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 a nostro parere</w:t>
            </w:r>
            <w:r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dovrebbe essere cancellata: </w:t>
            </w:r>
          </w:p>
          <w:p w14:paraId="7A16B993" w14:textId="2AE3B282" w:rsidR="000A22BE" w:rsidRPr="000A22BE" w:rsidRDefault="004E521D" w:rsidP="000A22BE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“</w:t>
            </w:r>
            <w:r w:rsidR="000A22BE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La funzione attuariale esprime altresì il proprio giudizio sui metodi e le ipotesi adottate nella verifica di congruità delle passività assicurative di cui all’IFRS17, integrando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0A22BE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…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”</w:t>
            </w:r>
          </w:p>
          <w:p w14:paraId="52BB7EFC" w14:textId="75FD4E35" w:rsidR="000A22BE" w:rsidRPr="000A22BE" w:rsidRDefault="004E521D" w:rsidP="000A22BE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</w:t>
            </w:r>
            <w:r w:rsidR="000A22BE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 suggerisce di sostituirla con una più generale ed ampia previsione di una relazione a carico della Funzione Attuariale,</w:t>
            </w:r>
            <w:r w:rsidR="00472F00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472F00" w:rsidRPr="00B640F3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sia nel ramo vita che nei rami danni,</w:t>
            </w:r>
            <w:r w:rsidR="000A22BE" w:rsidRPr="00B640F3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secondo</w:t>
            </w:r>
            <w:r w:rsidR="000A22BE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uno schema coerente con la relazione della </w:t>
            </w:r>
            <w:r w:rsidR="00D408FD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Funzione Attuariale </w:t>
            </w:r>
            <w:r w:rsidR="000A22BE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sulla </w:t>
            </w:r>
            <w:r w:rsidR="00D408F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</w:t>
            </w:r>
            <w:r w:rsidR="00D408FD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olvibilità </w:t>
            </w:r>
            <w:r w:rsidR="000A22BE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II, ove, fra le altre cose, si dovrebbe chiedere di spiegare e riconciliare le differenze fra le riserve iscritte nel bilancio IFRS17 e le riserve della </w:t>
            </w:r>
            <w:r w:rsidR="00D408F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</w:t>
            </w:r>
            <w:r w:rsidR="00D408FD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olvibilità </w:t>
            </w:r>
            <w:r w:rsidR="000A22BE" w:rsidRPr="000A22B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II, </w:t>
            </w:r>
            <w:r w:rsidR="000A22BE" w:rsidRPr="00AE66F1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come </w:t>
            </w:r>
          </w:p>
          <w:p w14:paraId="7E03651B" w14:textId="4CDFB98A" w:rsidR="000A22BE" w:rsidRPr="004E521D" w:rsidRDefault="000A22BE" w:rsidP="004E521D">
            <w:pPr>
              <w:pStyle w:val="Paragrafoelenco"/>
              <w:numPr>
                <w:ilvl w:val="0"/>
                <w:numId w:val="41"/>
              </w:num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E54A7A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risk adjustment</w:t>
            </w:r>
            <w:r w:rsidRPr="004E521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e l’equivalente </w:t>
            </w:r>
            <w:r w:rsidRPr="00E54A7A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  <w:lang w:val="it-IT"/>
              </w:rPr>
              <w:t>risk margin</w:t>
            </w:r>
            <w:r w:rsidRPr="004E521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della solvibilità II</w:t>
            </w:r>
          </w:p>
          <w:p w14:paraId="634ABBA9" w14:textId="50D63685" w:rsidR="000A22BE" w:rsidRDefault="00491EAA" w:rsidP="004E521D">
            <w:pPr>
              <w:pStyle w:val="Paragrafoelenco"/>
              <w:numPr>
                <w:ilvl w:val="0"/>
                <w:numId w:val="41"/>
              </w:num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impatto derivante dalle ipotesi economiche</w:t>
            </w:r>
          </w:p>
          <w:p w14:paraId="010A988E" w14:textId="5007D16E" w:rsidR="00491EAA" w:rsidRPr="004E521D" w:rsidRDefault="00491EAA" w:rsidP="004E521D">
            <w:pPr>
              <w:pStyle w:val="Paragrafoelenco"/>
              <w:numPr>
                <w:ilvl w:val="0"/>
                <w:numId w:val="41"/>
              </w:num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impatto derivante dalle ipotesi non economiche (incl</w:t>
            </w:r>
            <w:r w:rsidR="00F22F68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uso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F22F68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l’impatto eventuali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limiti contrattuali)</w:t>
            </w:r>
          </w:p>
          <w:p w14:paraId="6305BA12" w14:textId="663B8C64" w:rsidR="00491EAA" w:rsidRDefault="00491EAA" w:rsidP="00491EAA">
            <w:pPr>
              <w:pStyle w:val="Paragrafoelenco"/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1585CE45" w14:textId="57A29E38" w:rsidR="00491EAA" w:rsidRDefault="00491EAA" w:rsidP="00D8285B">
            <w:pPr>
              <w:pStyle w:val="Paragrafoelenco"/>
              <w:spacing w:before="120" w:after="240"/>
              <w:ind w:left="31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Si fa notare inoltre che, su quanto sopra, andrebbe indirizzato il tema del differente perimetro valutativo tra IFRS 17 e Solvibilità II, ad esempio:</w:t>
            </w:r>
          </w:p>
          <w:p w14:paraId="125B3692" w14:textId="6791F105" w:rsidR="00491EAA" w:rsidRDefault="00491EAA" w:rsidP="00AE2412">
            <w:pPr>
              <w:pStyle w:val="Paragrafoelenco"/>
              <w:numPr>
                <w:ilvl w:val="0"/>
                <w:numId w:val="44"/>
              </w:numPr>
              <w:spacing w:before="240" w:after="24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contratti di investimento misurati sotto IFRS 9 (dunque inclusi nel perimetro Solvibilità II ma non in quello IFRS 17),</w:t>
            </w:r>
          </w:p>
          <w:p w14:paraId="64D84D8B" w14:textId="7D221423" w:rsidR="00491EAA" w:rsidRDefault="00491EAA" w:rsidP="00AE2412">
            <w:pPr>
              <w:pStyle w:val="Paragrafoelenco"/>
              <w:numPr>
                <w:ilvl w:val="0"/>
                <w:numId w:val="44"/>
              </w:numPr>
              <w:spacing w:before="240" w:after="24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contratti assicurativi misurati sotto IFRS 17 al di fuori del perimetro della Solvibilità II in quanto valutati secondo regolamentazione IORP (contratti di natura pensionistica)</w:t>
            </w:r>
          </w:p>
          <w:p w14:paraId="1F6B7EF3" w14:textId="69770C85" w:rsidR="00491EAA" w:rsidRDefault="00491EAA" w:rsidP="00491EAA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In questi riguardi, suggeriremmo le due seguenti alternative</w:t>
            </w:r>
            <w:r w:rsidR="007E74F8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, in ordine di preferibilità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:</w:t>
            </w:r>
          </w:p>
          <w:p w14:paraId="1C73E582" w14:textId="00A2A809" w:rsidR="00491EAA" w:rsidRDefault="00491EAA" w:rsidP="00491EAA">
            <w:pPr>
              <w:pStyle w:val="Paragrafoelenco"/>
              <w:numPr>
                <w:ilvl w:val="0"/>
                <w:numId w:val="43"/>
              </w:num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lastRenderedPageBreak/>
              <w:t xml:space="preserve">l’introduzione in riconciliazione di un movimento riconducibile al differente perimetro valutativo (ossia si partirebbe dalla totalità del business misurato in regime di </w:t>
            </w:r>
            <w:r w:rsidR="009D24F3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Solvibilità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II per arrivare alla totalità del business misurato in IFRS17, oppure</w:t>
            </w:r>
          </w:p>
          <w:p w14:paraId="79C48E56" w14:textId="015A7876" w:rsidR="00491EAA" w:rsidRDefault="00491EAA" w:rsidP="00D408FD">
            <w:pPr>
              <w:pStyle w:val="Paragrafoelenco"/>
              <w:numPr>
                <w:ilvl w:val="0"/>
                <w:numId w:val="43"/>
              </w:num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escludere i portafogli che non sono nel perimetro di entrambi i regimi (ne consegue che, ad esempio, le porzioni di portafoglio di cui al punto b) precedente, non sarebbero oggetto della riconciliazione in oggetto).</w:t>
            </w:r>
          </w:p>
          <w:p w14:paraId="207248F5" w14:textId="523D3F76" w:rsidR="000A22BE" w:rsidRPr="005F6C4E" w:rsidRDefault="000A22BE" w:rsidP="009D24F3">
            <w:pPr>
              <w:pStyle w:val="Paragrafoelenco"/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1E1837" w:rsidRPr="000A69DB" w14:paraId="207248FE" w14:textId="77777777" w:rsidTr="0074255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48FB" w14:textId="06C35647" w:rsidR="001E1837" w:rsidRPr="00FA1A25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FA1A25">
              <w:rPr>
                <w:rFonts w:ascii="Verdana" w:hAnsi="Verdana"/>
                <w:bCs/>
                <w:sz w:val="20"/>
                <w:szCs w:val="20"/>
                <w:lang w:val="it-IT"/>
              </w:rPr>
              <w:lastRenderedPageBreak/>
              <w:t>Allegato 4, art.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48FC" w14:textId="0ED1A66E" w:rsidR="001E1837" w:rsidRPr="00FA1A25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FA1A25">
              <w:rPr>
                <w:rFonts w:ascii="Verdana" w:hAnsi="Verdana"/>
                <w:bCs/>
                <w:sz w:val="20"/>
                <w:szCs w:val="20"/>
                <w:lang w:val="it-IT"/>
              </w:rPr>
              <w:t>1.2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8C20" w14:textId="3EB5228B" w:rsidR="001E1837" w:rsidRPr="00FA1A25" w:rsidRDefault="001E1837" w:rsidP="001E1837">
            <w:pPr>
              <w:spacing w:before="120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FA1A25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Nella tabella, tutte le volte che si fa riferimento al metodo di transizione del </w:t>
            </w:r>
            <w:r w:rsidRPr="009D24F3">
              <w:rPr>
                <w:rFonts w:ascii="Verdana" w:hAnsi="Verdana"/>
                <w:bCs/>
                <w:i/>
                <w:iCs/>
                <w:sz w:val="20"/>
                <w:szCs w:val="20"/>
                <w:lang w:val="it-IT"/>
              </w:rPr>
              <w:t>fair value</w:t>
            </w:r>
            <w:r w:rsidRPr="00FA1A25">
              <w:rPr>
                <w:rFonts w:ascii="Verdana" w:hAnsi="Verdana"/>
                <w:bCs/>
                <w:sz w:val="20"/>
                <w:szCs w:val="20"/>
                <w:lang w:val="it-IT"/>
              </w:rPr>
              <w:t>, si chiede il totale dei flussi finanziari di adempimento (</w:t>
            </w:r>
            <w:r w:rsidRPr="009D24F3">
              <w:rPr>
                <w:rFonts w:ascii="Verdana" w:hAnsi="Verdana"/>
                <w:bCs/>
                <w:i/>
                <w:iCs/>
                <w:sz w:val="20"/>
                <w:szCs w:val="20"/>
                <w:lang w:val="it-IT"/>
              </w:rPr>
              <w:t>fulfilment cash flows</w:t>
            </w:r>
            <w:r w:rsidRPr="00FA1A25">
              <w:rPr>
                <w:rFonts w:ascii="Verdana" w:hAnsi="Verdana"/>
                <w:bCs/>
                <w:sz w:val="20"/>
                <w:szCs w:val="20"/>
                <w:lang w:val="it-IT"/>
              </w:rPr>
              <w:t>) senza distinguerne le due componenti</w:t>
            </w:r>
            <w:r w:rsidR="00105FF4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(present value future cashflows e risk adjustment)</w:t>
            </w:r>
            <w:r w:rsidRPr="00FA1A25">
              <w:rPr>
                <w:rFonts w:ascii="Verdana" w:hAnsi="Verdana"/>
                <w:bCs/>
                <w:sz w:val="20"/>
                <w:szCs w:val="20"/>
                <w:lang w:val="it-IT"/>
              </w:rPr>
              <w:t>. Dal momento che è necessario il calcolo separato dell’aggiustamento per i rischi non finanziari (risk adjustment) e del valore attuale dei flussi finanziari futuri alla data di transizione, si suggerisce di chiedere tale informazione nella tabella.</w:t>
            </w:r>
          </w:p>
          <w:p w14:paraId="55672213" w14:textId="77777777" w:rsidR="001E1837" w:rsidRDefault="001E1837" w:rsidP="001E1837">
            <w:pPr>
              <w:spacing w:before="120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FA1A25">
              <w:rPr>
                <w:rFonts w:ascii="Verdana" w:hAnsi="Verdana"/>
                <w:bCs/>
                <w:sz w:val="20"/>
                <w:szCs w:val="20"/>
                <w:lang w:val="it-IT"/>
              </w:rPr>
              <w:t>Le voci interessate sono le seguenti: LRC(GMM), LIC(GMM), ARC(GMM), AIC(GMM), LRC(VFA), LIC(VFA), LIC(PAA), AIC(PAA)</w:t>
            </w:r>
          </w:p>
          <w:p w14:paraId="207248FD" w14:textId="53FABE66" w:rsidR="00F16601" w:rsidRPr="00FA1A25" w:rsidRDefault="00F16601" w:rsidP="001E1837">
            <w:pPr>
              <w:spacing w:before="120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1E1837" w:rsidRPr="000A69DB" w14:paraId="296A183D" w14:textId="77777777" w:rsidTr="0074255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8F5C" w14:textId="6630A18B" w:rsidR="001E1837" w:rsidRPr="00E17CDA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E17CDA">
              <w:rPr>
                <w:rFonts w:ascii="Verdana" w:hAnsi="Verdana"/>
                <w:bCs/>
                <w:sz w:val="20"/>
                <w:szCs w:val="20"/>
                <w:lang w:val="it-IT"/>
              </w:rPr>
              <w:t>Allegato 4, art.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6676" w14:textId="72B232FA" w:rsidR="001E1837" w:rsidRPr="00E17CDA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E17CDA">
              <w:rPr>
                <w:rFonts w:ascii="Verdana" w:hAnsi="Verdana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0A9" w14:textId="77777777" w:rsidR="001E1837" w:rsidRDefault="00D8259A" w:rsidP="001E1837">
            <w:pPr>
              <w:spacing w:before="120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Con riferimento </w:t>
            </w:r>
            <w:r w:rsidR="00EC3BDD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alla colonna dedicata alla </w:t>
            </w:r>
            <w:r w:rsidR="009D24F3">
              <w:rPr>
                <w:rFonts w:ascii="Verdana" w:hAnsi="Verdana"/>
                <w:bCs/>
                <w:sz w:val="20"/>
                <w:szCs w:val="20"/>
                <w:lang w:val="it-IT"/>
              </w:rPr>
              <w:t>Solvibilità II,</w:t>
            </w:r>
            <w:r w:rsidR="00EC3BDD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in tema di perimetro</w:t>
            </w:r>
            <w:r w:rsidR="009D24F3">
              <w:rPr>
                <w:rFonts w:ascii="Verdana" w:hAnsi="Verdana"/>
                <w:bCs/>
                <w:sz w:val="20"/>
                <w:szCs w:val="20"/>
                <w:lang w:val="it-IT"/>
              </w:rPr>
              <w:t>,</w:t>
            </w:r>
            <w:r w:rsidR="00EC3BDD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si faccia riferimento ai commenti già riportati al punt</w:t>
            </w:r>
            <w:r w:rsidR="00902055">
              <w:rPr>
                <w:rFonts w:ascii="Verdana" w:hAnsi="Verdana"/>
                <w:bCs/>
                <w:sz w:val="20"/>
                <w:szCs w:val="20"/>
                <w:lang w:val="it-IT"/>
              </w:rPr>
              <w:t>o</w:t>
            </w:r>
            <w:r w:rsidR="00EC3BDD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Art.</w:t>
            </w:r>
            <w:r w:rsidR="00EC3BDD" w:rsidRPr="00EC3BDD">
              <w:rPr>
                <w:rFonts w:ascii="Verdana" w:hAnsi="Verdana"/>
                <w:bCs/>
                <w:sz w:val="20"/>
                <w:szCs w:val="20"/>
                <w:lang w:val="it-IT"/>
              </w:rPr>
              <w:t>11-bis</w:t>
            </w:r>
            <w:r w:rsidR="00EC3BDD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comma </w:t>
            </w:r>
            <w:r w:rsidR="00EC3BDD" w:rsidRPr="00EC3BDD">
              <w:rPr>
                <w:rFonts w:ascii="Verdana" w:hAnsi="Verdana"/>
                <w:bCs/>
                <w:sz w:val="20"/>
                <w:szCs w:val="20"/>
                <w:lang w:val="it-IT"/>
              </w:rPr>
              <w:t>3</w:t>
            </w:r>
          </w:p>
          <w:p w14:paraId="20E26C86" w14:textId="7D0A5CF5" w:rsidR="00F16601" w:rsidRPr="002C7748" w:rsidRDefault="00F16601" w:rsidP="001E1837">
            <w:pPr>
              <w:spacing w:before="120"/>
              <w:rPr>
                <w:rFonts w:ascii="Verdana" w:hAnsi="Verdana"/>
                <w:bCs/>
                <w:color w:val="31849B" w:themeColor="accent5" w:themeShade="BF"/>
                <w:sz w:val="20"/>
                <w:szCs w:val="20"/>
                <w:lang w:val="it-IT"/>
              </w:rPr>
            </w:pPr>
          </w:p>
        </w:tc>
      </w:tr>
      <w:tr w:rsidR="001E1837" w:rsidRPr="000A69DB" w14:paraId="149224E4" w14:textId="77777777" w:rsidTr="0074255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E415" w14:textId="459E0629" w:rsidR="001E1837" w:rsidRPr="00E17CDA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E17CDA">
              <w:rPr>
                <w:rFonts w:ascii="Verdana" w:hAnsi="Verdana"/>
                <w:bCs/>
                <w:sz w:val="20"/>
                <w:szCs w:val="20"/>
                <w:lang w:val="it-IT"/>
              </w:rPr>
              <w:t>Allegato 4, art.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1B366" w14:textId="5A5F29BC" w:rsidR="001E1837" w:rsidRPr="00E17CDA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E17CDA">
              <w:rPr>
                <w:rFonts w:ascii="Verdana" w:hAnsi="Verdana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155B" w14:textId="77777777" w:rsidR="001E1837" w:rsidRDefault="007103B7" w:rsidP="001E1837">
            <w:pPr>
              <w:spacing w:before="120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Relativamente alla </w:t>
            </w:r>
            <w:r w:rsidR="00F16601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Solvibilità </w:t>
            </w:r>
            <w:r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>II, n</w:t>
            </w:r>
            <w:r w:rsidR="001E1837" w:rsidRPr="007103B7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elle cessioni in riassicurazione, non c’è margine di rischio in quanto questa voce di riserva è imputata interamente nel lavoro diretto </w:t>
            </w:r>
            <w:r w:rsidR="00CA06C2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>(o indiretto)</w:t>
            </w:r>
            <w:r w:rsidR="00CA06C2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</w:t>
            </w:r>
            <w:r w:rsidR="001E1837" w:rsidRPr="007103B7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dove è calcolata al netto della mitigazione della riassicurazione passiva. </w:t>
            </w:r>
            <w:r w:rsidR="001E1837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Si suggerisce dunque di </w:t>
            </w:r>
            <w:r w:rsidR="004260C3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>chiarire se</w:t>
            </w:r>
            <w:r w:rsidR="00C5527C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(1) lasciare vuote oppure</w:t>
            </w:r>
            <w:r w:rsidR="00CA06C2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, in alternativa </w:t>
            </w:r>
            <w:r w:rsidR="00C5527C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>(2)</w:t>
            </w:r>
            <w:r w:rsidR="009B4295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richiederne una stima, in tal caso </w:t>
            </w:r>
            <w:r w:rsidR="00670BB1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>aggiungendo</w:t>
            </w:r>
            <w:r w:rsidR="009B4295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tale stima</w:t>
            </w:r>
            <w:r w:rsidR="00C5527C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</w:t>
            </w:r>
            <w:r w:rsidR="00670BB1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>al margine di rischio del lavoro diretto che sarebbe quindi esposto al lordo del ceduto</w:t>
            </w:r>
            <w:r w:rsidR="00F16601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>.</w:t>
            </w:r>
          </w:p>
          <w:p w14:paraId="172C2B9F" w14:textId="3D2A0A54" w:rsidR="00F16601" w:rsidRPr="002C7748" w:rsidRDefault="00F16601" w:rsidP="001E1837">
            <w:pPr>
              <w:spacing w:before="120"/>
              <w:rPr>
                <w:rFonts w:ascii="Verdana" w:hAnsi="Verdana"/>
                <w:bCs/>
                <w:color w:val="31849B" w:themeColor="accent5" w:themeShade="BF"/>
                <w:sz w:val="20"/>
                <w:szCs w:val="20"/>
                <w:lang w:val="it-IT"/>
              </w:rPr>
            </w:pPr>
          </w:p>
        </w:tc>
      </w:tr>
      <w:tr w:rsidR="001E1837" w:rsidRPr="000A69DB" w14:paraId="147C9EC0" w14:textId="77777777" w:rsidTr="0074255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FACB" w14:textId="0BE2D976" w:rsidR="001E1837" w:rsidRPr="00E17CDA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E17CDA">
              <w:rPr>
                <w:rFonts w:ascii="Verdana" w:hAnsi="Verdana"/>
                <w:bCs/>
                <w:sz w:val="20"/>
                <w:szCs w:val="20"/>
                <w:lang w:val="it-IT"/>
              </w:rPr>
              <w:t>Allegato 4, art.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206E" w14:textId="18BD2FB4" w:rsidR="001E1837" w:rsidRPr="00E17CDA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E17CDA">
              <w:rPr>
                <w:rFonts w:ascii="Verdana" w:hAnsi="Verdana"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23DC" w14:textId="641D006C" w:rsidR="001E1837" w:rsidRPr="00F16601" w:rsidRDefault="001E1837" w:rsidP="001E1837">
            <w:pPr>
              <w:spacing w:before="120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Si chiede di chiarire se nella voce “contratti assicurativi emessi” – del ramo </w:t>
            </w:r>
            <w:r w:rsidR="00902055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vita </w:t>
            </w:r>
            <w:r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prodotti VFA (altri prodotti) sia </w:t>
            </w:r>
            <w:r w:rsidR="00190A65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il luogo adatto dove </w:t>
            </w:r>
            <w:r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>riportare le riserve dei prodotti ibridi ove non ne siano state scorporate le componenti</w:t>
            </w:r>
            <w:r w:rsidR="00357982" w:rsidRPr="00F16601">
              <w:rPr>
                <w:rFonts w:ascii="Verdana" w:hAnsi="Verdana"/>
                <w:bCs/>
                <w:sz w:val="20"/>
                <w:szCs w:val="20"/>
                <w:lang w:val="it-IT"/>
              </w:rPr>
              <w:t>.</w:t>
            </w:r>
          </w:p>
          <w:p w14:paraId="6219D7E7" w14:textId="51E0F9EF" w:rsidR="00357982" w:rsidRPr="009A149C" w:rsidRDefault="00357982" w:rsidP="001E1837">
            <w:pPr>
              <w:spacing w:before="120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1E1837" w:rsidRPr="000A69DB" w14:paraId="54514363" w14:textId="77777777" w:rsidTr="00742551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2904" w14:textId="4C932227" w:rsidR="001E1837" w:rsidRPr="00E17CDA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E17CDA">
              <w:rPr>
                <w:rFonts w:ascii="Verdana" w:hAnsi="Verdana"/>
                <w:bCs/>
                <w:sz w:val="20"/>
                <w:szCs w:val="20"/>
                <w:lang w:val="it-IT"/>
              </w:rPr>
              <w:t>Allegato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6016" w14:textId="77777777" w:rsidR="001E1837" w:rsidRPr="00E17CDA" w:rsidRDefault="001E1837" w:rsidP="001E183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69AC" w14:textId="63ABDBCD" w:rsidR="000F0848" w:rsidRDefault="00902055" w:rsidP="001E1837">
            <w:pPr>
              <w:spacing w:before="120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A149C">
              <w:rPr>
                <w:rFonts w:ascii="Verdana" w:hAnsi="Verdana"/>
                <w:bCs/>
                <w:sz w:val="20"/>
                <w:szCs w:val="20"/>
                <w:lang w:val="it-IT"/>
              </w:rPr>
              <w:t>È</w:t>
            </w:r>
            <w:r w:rsidR="001E1837" w:rsidRPr="009A149C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assente un paragrafo che – in analogia a quanto chiesto nel paragrafo 9 sui prodotti di investimento soggetti a IFRS9 – chieda</w:t>
            </w:r>
            <w:r w:rsidR="00C54146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, </w:t>
            </w:r>
            <w:r w:rsidR="00C54146" w:rsidRPr="000F0848">
              <w:rPr>
                <w:rFonts w:ascii="Verdana" w:hAnsi="Verdana"/>
                <w:bCs/>
                <w:sz w:val="20"/>
                <w:szCs w:val="20"/>
                <w:lang w:val="it-IT"/>
              </w:rPr>
              <w:t>con riferimento alle riserve soggette a IFRS17 -</w:t>
            </w:r>
            <w:r w:rsidR="001E1837" w:rsidRPr="000F0848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di fornire la motivazione </w:t>
            </w:r>
            <w:r w:rsidR="004B3E27" w:rsidRPr="000F0848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dell’allocazione </w:t>
            </w:r>
            <w:r w:rsidR="0055777E" w:rsidRPr="000F0848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al portafoglio le cui variazioni finanziarie </w:t>
            </w:r>
            <w:r w:rsidR="008D53FA" w:rsidRPr="000F0848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sono </w:t>
            </w:r>
            <w:r w:rsidR="00681723" w:rsidRPr="000F0848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rilevate </w:t>
            </w:r>
            <w:r w:rsidR="008D53FA" w:rsidRPr="000F0848">
              <w:rPr>
                <w:rFonts w:ascii="Verdana" w:hAnsi="Verdana"/>
                <w:bCs/>
                <w:sz w:val="20"/>
                <w:szCs w:val="20"/>
                <w:lang w:val="it-IT"/>
              </w:rPr>
              <w:t>a conto economico piuttosto che alla redditività complessiva.</w:t>
            </w:r>
          </w:p>
          <w:p w14:paraId="214AF978" w14:textId="2A7B75A8" w:rsidR="001E1837" w:rsidRPr="009A149C" w:rsidRDefault="008D53FA" w:rsidP="001E1837">
            <w:pPr>
              <w:spacing w:before="120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0F0848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66DA10D2" w14:textId="16BE89CE" w:rsidR="003F3EAB" w:rsidRPr="003F3EAB" w:rsidRDefault="00881B56" w:rsidP="000A69DB">
      <w:pPr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>
        <w:rPr>
          <w:rFonts w:ascii="Verdana" w:hAnsi="Verdana"/>
          <w:b/>
          <w:bCs/>
          <w:color w:val="000000"/>
          <w:sz w:val="20"/>
          <w:szCs w:val="20"/>
          <w:lang w:val="it-IT"/>
        </w:rPr>
        <w:br w:type="page"/>
      </w:r>
      <w:r w:rsidR="003F3EAB" w:rsidRPr="003F3EAB">
        <w:rPr>
          <w:rFonts w:ascii="Verdana" w:hAnsi="Verdana"/>
          <w:b/>
          <w:bCs/>
          <w:color w:val="000000"/>
          <w:sz w:val="20"/>
          <w:szCs w:val="20"/>
          <w:lang w:val="it-IT"/>
        </w:rPr>
        <w:lastRenderedPageBreak/>
        <w:t xml:space="preserve">Parte </w:t>
      </w:r>
      <w:r w:rsidR="00266453">
        <w:rPr>
          <w:rFonts w:ascii="Verdana" w:hAnsi="Verdana"/>
          <w:b/>
          <w:bCs/>
          <w:color w:val="000000"/>
          <w:sz w:val="20"/>
          <w:szCs w:val="20"/>
          <w:lang w:val="it-IT"/>
        </w:rPr>
        <w:t>A</w:t>
      </w:r>
      <w:r w:rsidR="003F3EAB" w:rsidRPr="003F3EAB">
        <w:rPr>
          <w:rFonts w:ascii="Verdana" w:hAnsi="Verdana"/>
          <w:b/>
          <w:bCs/>
          <w:color w:val="000000"/>
          <w:sz w:val="20"/>
          <w:szCs w:val="20"/>
          <w:lang w:val="it-IT"/>
        </w:rPr>
        <w:t xml:space="preserve"> – Schemi di bilancio</w:t>
      </w:r>
    </w:p>
    <w:p w14:paraId="1DEA8FEB" w14:textId="4A9FF78C" w:rsidR="003F3EAB" w:rsidRDefault="003F3EAB" w:rsidP="00711EC8">
      <w:pPr>
        <w:spacing w:before="120"/>
        <w:jc w:val="both"/>
        <w:rPr>
          <w:rFonts w:ascii="Century" w:hAnsi="Century"/>
          <w:lang w:val="it-IT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1670"/>
      </w:tblGrid>
      <w:tr w:rsidR="003F3EAB" w:rsidRPr="00FF1767" w14:paraId="1CEDFCF1" w14:textId="77777777" w:rsidTr="00F1713F">
        <w:trPr>
          <w:trHeight w:val="1845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F30198" w14:textId="77777777" w:rsidR="003F3EAB" w:rsidRDefault="003F3EAB" w:rsidP="00742551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90FAAF" w14:textId="7DA8DD43" w:rsidR="003F3EAB" w:rsidRPr="005F6C4E" w:rsidRDefault="003F3EAB" w:rsidP="00FF1767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3EAB" w:rsidRPr="00FF1767" w14:paraId="2D70D0C5" w14:textId="77777777" w:rsidTr="00742551">
        <w:tc>
          <w:tcPr>
            <w:tcW w:w="150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710D7C92" w14:textId="77777777" w:rsidR="003F3EAB" w:rsidRPr="00A95B37" w:rsidRDefault="003F3EAB" w:rsidP="00742551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3F3EAB" w:rsidRPr="008933FF" w14:paraId="6C46904C" w14:textId="77777777" w:rsidTr="00742551">
        <w:tc>
          <w:tcPr>
            <w:tcW w:w="1668" w:type="dxa"/>
            <w:shd w:val="clear" w:color="auto" w:fill="F2F2F2"/>
            <w:vAlign w:val="center"/>
          </w:tcPr>
          <w:p w14:paraId="5C05E66A" w14:textId="1C5C7625" w:rsidR="003F3EAB" w:rsidRPr="008933FF" w:rsidRDefault="000C157E" w:rsidP="00742551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Voce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96549F8" w14:textId="132AA96F" w:rsidR="003F3EAB" w:rsidRPr="008933FF" w:rsidRDefault="000C157E" w:rsidP="00742551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Tabella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14:paraId="6DD3AAA6" w14:textId="77777777" w:rsidR="003F3EAB" w:rsidRPr="008933FF" w:rsidRDefault="003F3EAB" w:rsidP="00742551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FF1767" w:rsidRPr="000A69DB" w14:paraId="5B08FA92" w14:textId="77777777" w:rsidTr="007425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044B" w14:textId="6831F772" w:rsidR="00FF1767" w:rsidRPr="005F6C4E" w:rsidRDefault="00FF1767" w:rsidP="00FF1767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Allegato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72D0" w14:textId="5FEED197" w:rsidR="00FF1767" w:rsidRPr="005F6C4E" w:rsidRDefault="00FF1767" w:rsidP="00FF1767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Conto Economico complessivo</w:t>
            </w: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19CF" w14:textId="5D30E056" w:rsidR="00FF1767" w:rsidRPr="00963C10" w:rsidRDefault="00FF1767" w:rsidP="00881B56">
            <w:pPr>
              <w:spacing w:before="12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Non è </w:t>
            </w:r>
            <w:r w:rsidR="00882B19"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chiaro dove collocare </w:t>
            </w:r>
            <w:r w:rsidR="00697E08"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i </w:t>
            </w:r>
            <w:r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>ricavi o costi di natura finanziaria relativi a cessioni in riassicurazione</w:t>
            </w:r>
            <w:r w:rsidR="00697E08"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con effetti nella </w:t>
            </w:r>
            <w:r w:rsidR="00F85D1C"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>redditività complessiva anziché a conto economico</w:t>
            </w:r>
            <w:r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(in tal caso imputati nella voce 3.7)</w:t>
            </w:r>
            <w:r w:rsidR="00963C10">
              <w:rPr>
                <w:rFonts w:ascii="Verdana" w:hAnsi="Verdana"/>
                <w:bCs/>
                <w:sz w:val="20"/>
                <w:szCs w:val="20"/>
                <w:lang w:val="it-IT"/>
              </w:rPr>
              <w:t>.</w:t>
            </w:r>
          </w:p>
          <w:p w14:paraId="427D4691" w14:textId="00BA0E9C" w:rsidR="00F65B60" w:rsidRPr="005F6C4E" w:rsidRDefault="00F65B60" w:rsidP="00881B56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FF1767" w:rsidRPr="000A69DB" w14:paraId="4699625A" w14:textId="77777777" w:rsidTr="0074255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A156" w14:textId="4DD05F82" w:rsidR="00FF1767" w:rsidRPr="005F6C4E" w:rsidRDefault="00FF1767" w:rsidP="00FF1767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Allegato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42CE" w14:textId="77777777" w:rsidR="00FF1767" w:rsidRDefault="00FF1767" w:rsidP="00FF1767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Elementi sottostanti alla misurazione dei contratti assicurativi emessi iscritti nell’esercizio</w:t>
            </w:r>
            <w:r w:rsidR="008330E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(pagine 55 e 56)</w:t>
            </w:r>
          </w:p>
          <w:p w14:paraId="4217221B" w14:textId="75D55797" w:rsidR="00F1713F" w:rsidRPr="005F6C4E" w:rsidRDefault="00F1713F" w:rsidP="00FF1767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2B1" w14:textId="0A307DE5" w:rsidR="00FF1767" w:rsidRPr="005F6C4E" w:rsidRDefault="005E3544" w:rsidP="00881B56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Poiché la ripartizione minima prevista dal principio contabile è di tre gruppi, si chiede di chiarire dove co</w:t>
            </w:r>
            <w:r w:rsidR="004D4C1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l</w:t>
            </w:r>
            <w:r w:rsidR="004D4C1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o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care </w:t>
            </w:r>
            <w:r w:rsidR="004D4C1D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i </w:t>
            </w:r>
            <w:r w:rsidR="00FF1767" w:rsidRPr="00963C10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“</w:t>
            </w:r>
            <w:r w:rsidR="00FF1767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contratti non onerosi ma che possono diventare onerosi in condizioni di stress</w:t>
            </w:r>
            <w:r w:rsidR="00FF1767" w:rsidRPr="00963C10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”</w:t>
            </w:r>
            <w:r w:rsidR="008330EE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 </w:t>
            </w:r>
            <w:r w:rsidR="00133D3C"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>fra le due sole alternative previste dalla tabella, ossia</w:t>
            </w:r>
            <w:r w:rsidR="00AA6144"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 xml:space="preserve"> se fra i contratti onerosi o se fra i contratti n</w:t>
            </w:r>
            <w:r w:rsidR="00581441"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>o</w:t>
            </w:r>
            <w:r w:rsidR="00AA6144" w:rsidRPr="00963C10">
              <w:rPr>
                <w:rFonts w:ascii="Verdana" w:hAnsi="Verdana"/>
                <w:bCs/>
                <w:sz w:val="20"/>
                <w:szCs w:val="20"/>
                <w:lang w:val="it-IT"/>
              </w:rPr>
              <w:t>n onerosi.</w:t>
            </w:r>
          </w:p>
        </w:tc>
      </w:tr>
    </w:tbl>
    <w:p w14:paraId="32AA628F" w14:textId="77777777" w:rsidR="00B4069D" w:rsidRDefault="00B4069D" w:rsidP="00B4069D">
      <w:pPr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</w:p>
    <w:p w14:paraId="3E102B22" w14:textId="77777777" w:rsidR="00B4069D" w:rsidRDefault="00B4069D">
      <w:pPr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>
        <w:rPr>
          <w:rFonts w:ascii="Verdana" w:hAnsi="Verdana"/>
          <w:b/>
          <w:bCs/>
          <w:color w:val="000000"/>
          <w:sz w:val="20"/>
          <w:szCs w:val="20"/>
          <w:lang w:val="it-IT"/>
        </w:rPr>
        <w:br w:type="page"/>
      </w:r>
    </w:p>
    <w:p w14:paraId="376E30B7" w14:textId="4D93E6F5" w:rsidR="00B4069D" w:rsidRPr="003F3EAB" w:rsidRDefault="00B4069D" w:rsidP="00B4069D">
      <w:pPr>
        <w:spacing w:before="120"/>
        <w:jc w:val="both"/>
        <w:rPr>
          <w:rFonts w:ascii="Verdana" w:hAnsi="Verdana"/>
          <w:b/>
          <w:bCs/>
          <w:color w:val="000000"/>
          <w:sz w:val="20"/>
          <w:szCs w:val="20"/>
          <w:lang w:val="it-IT"/>
        </w:rPr>
      </w:pPr>
      <w:r>
        <w:rPr>
          <w:rFonts w:ascii="Verdana" w:hAnsi="Verdana"/>
          <w:b/>
          <w:bCs/>
          <w:color w:val="000000"/>
          <w:sz w:val="20"/>
          <w:szCs w:val="20"/>
          <w:lang w:val="it-IT"/>
        </w:rPr>
        <w:lastRenderedPageBreak/>
        <w:t>Parte B</w:t>
      </w:r>
      <w:r w:rsidRPr="003F3EAB">
        <w:rPr>
          <w:rFonts w:ascii="Verdana" w:hAnsi="Verdana"/>
          <w:b/>
          <w:bCs/>
          <w:color w:val="000000"/>
          <w:sz w:val="20"/>
          <w:szCs w:val="20"/>
          <w:lang w:val="it-IT"/>
        </w:rPr>
        <w:t xml:space="preserve"> – </w:t>
      </w:r>
      <w:r>
        <w:rPr>
          <w:rFonts w:ascii="Verdana" w:hAnsi="Verdana"/>
          <w:b/>
          <w:bCs/>
          <w:color w:val="000000"/>
          <w:sz w:val="20"/>
          <w:szCs w:val="20"/>
          <w:lang w:val="it-IT"/>
        </w:rPr>
        <w:t>Istruzioni per la compilazione degli schemi di bilancio</w:t>
      </w:r>
    </w:p>
    <w:p w14:paraId="194FA4A4" w14:textId="77777777" w:rsidR="00B4069D" w:rsidRDefault="00B4069D" w:rsidP="00B4069D">
      <w:pPr>
        <w:spacing w:before="120"/>
        <w:jc w:val="both"/>
        <w:rPr>
          <w:rFonts w:ascii="Century" w:hAnsi="Century"/>
          <w:lang w:val="it-IT"/>
        </w:rPr>
      </w:pPr>
    </w:p>
    <w:tbl>
      <w:tblPr>
        <w:tblW w:w="15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11670"/>
      </w:tblGrid>
      <w:tr w:rsidR="00B4069D" w:rsidRPr="005F6C4E" w14:paraId="2E67EB5A" w14:textId="77777777" w:rsidTr="0001510F">
        <w:trPr>
          <w:trHeight w:val="2554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6BD7FC" w14:textId="77777777" w:rsidR="00B4069D" w:rsidRDefault="00B4069D" w:rsidP="0001510F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generali</w:t>
            </w:r>
          </w:p>
        </w:tc>
        <w:tc>
          <w:tcPr>
            <w:tcW w:w="1167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499F10" w14:textId="77777777" w:rsidR="00B4069D" w:rsidRPr="005F6C4E" w:rsidRDefault="00B4069D" w:rsidP="0001510F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B4069D" w:rsidRPr="00A95B37" w14:paraId="558248FF" w14:textId="77777777" w:rsidTr="0001510F">
        <w:tc>
          <w:tcPr>
            <w:tcW w:w="150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7365D"/>
          </w:tcPr>
          <w:p w14:paraId="63BC9A8F" w14:textId="77777777" w:rsidR="00B4069D" w:rsidRPr="00A95B37" w:rsidRDefault="00B4069D" w:rsidP="0001510F">
            <w:pPr>
              <w:spacing w:before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B4069D" w:rsidRPr="008933FF" w14:paraId="24B0A186" w14:textId="77777777" w:rsidTr="0001510F">
        <w:tc>
          <w:tcPr>
            <w:tcW w:w="1668" w:type="dxa"/>
            <w:shd w:val="clear" w:color="auto" w:fill="F2F2F2"/>
            <w:vAlign w:val="center"/>
          </w:tcPr>
          <w:p w14:paraId="023751CE" w14:textId="77777777" w:rsidR="00B4069D" w:rsidRPr="008933FF" w:rsidRDefault="00B4069D" w:rsidP="0001510F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Voce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F4A0648" w14:textId="77777777" w:rsidR="00B4069D" w:rsidRPr="008933FF" w:rsidRDefault="00B4069D" w:rsidP="0001510F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Tabella</w:t>
            </w:r>
          </w:p>
        </w:tc>
        <w:tc>
          <w:tcPr>
            <w:tcW w:w="11670" w:type="dxa"/>
            <w:shd w:val="clear" w:color="auto" w:fill="F2F2F2"/>
            <w:vAlign w:val="center"/>
          </w:tcPr>
          <w:p w14:paraId="75DFC5B5" w14:textId="77777777" w:rsidR="00B4069D" w:rsidRPr="008933FF" w:rsidRDefault="00B4069D" w:rsidP="0001510F">
            <w:pPr>
              <w:spacing w:before="120"/>
              <w:ind w:left="-392" w:firstLine="392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8933F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t-IT"/>
              </w:rPr>
              <w:t>Osservazioni e proposte</w:t>
            </w:r>
          </w:p>
        </w:tc>
      </w:tr>
      <w:tr w:rsidR="00B4069D" w:rsidRPr="005F6C4E" w14:paraId="56C0B476" w14:textId="77777777" w:rsidTr="0001510F">
        <w:trPr>
          <w:trHeight w:val="4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5365" w14:textId="77777777" w:rsidR="00B4069D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2A5908A2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F882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BE8" w14:textId="77777777" w:rsidR="00B4069D" w:rsidRPr="005F6C4E" w:rsidRDefault="00B4069D" w:rsidP="0001510F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B4069D" w:rsidRPr="005F6C4E" w14:paraId="74B772E7" w14:textId="77777777" w:rsidTr="000151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0356" w14:textId="77777777" w:rsidR="00B4069D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2F04C65F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F2F7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E05F" w14:textId="77777777" w:rsidR="00B4069D" w:rsidRPr="005F6C4E" w:rsidRDefault="00B4069D" w:rsidP="0001510F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B4069D" w:rsidRPr="005F6C4E" w14:paraId="6EEA98A0" w14:textId="77777777" w:rsidTr="000151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F251" w14:textId="77777777" w:rsidR="00B4069D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2ABFE492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7208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7133" w14:textId="77777777" w:rsidR="00B4069D" w:rsidRPr="005F6C4E" w:rsidRDefault="00B4069D" w:rsidP="0001510F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B4069D" w:rsidRPr="005F6C4E" w14:paraId="74BC95AB" w14:textId="77777777" w:rsidTr="000151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2FEE" w14:textId="77777777" w:rsidR="00B4069D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24B19667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B832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3AA4" w14:textId="77777777" w:rsidR="00B4069D" w:rsidRPr="005F6C4E" w:rsidRDefault="00B4069D" w:rsidP="0001510F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B4069D" w:rsidRPr="005F6C4E" w14:paraId="288CE6C7" w14:textId="77777777" w:rsidTr="000151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B723" w14:textId="77777777" w:rsidR="00B4069D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3F6C707D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3CC9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F8B" w14:textId="77777777" w:rsidR="00B4069D" w:rsidRPr="005F6C4E" w:rsidRDefault="00B4069D" w:rsidP="0001510F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  <w:tr w:rsidR="00B4069D" w:rsidRPr="005F6C4E" w14:paraId="7C3FB6C3" w14:textId="77777777" w:rsidTr="000151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5F" w14:textId="77777777" w:rsidR="00B4069D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  <w:p w14:paraId="4352B580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CF1B" w14:textId="77777777" w:rsidR="00B4069D" w:rsidRPr="005F6C4E" w:rsidRDefault="00B4069D" w:rsidP="0001510F">
            <w:pPr>
              <w:spacing w:before="120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3652" w14:textId="77777777" w:rsidR="00B4069D" w:rsidRPr="005F6C4E" w:rsidRDefault="00B4069D" w:rsidP="0001510F">
            <w:pPr>
              <w:spacing w:before="120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0B4108D9" w14:textId="77777777" w:rsidR="00D65681" w:rsidRPr="00673A62" w:rsidRDefault="00D65681" w:rsidP="00254CEE">
      <w:pPr>
        <w:spacing w:before="120"/>
        <w:jc w:val="both"/>
        <w:rPr>
          <w:rFonts w:ascii="Century" w:hAnsi="Century"/>
          <w:lang w:val="it-IT"/>
        </w:rPr>
      </w:pPr>
    </w:p>
    <w:sectPr w:rsidR="00D65681" w:rsidRPr="00673A62" w:rsidSect="004115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43" w:right="1418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CF63F" w14:textId="77777777" w:rsidR="00FA1D54" w:rsidRDefault="00FA1D54">
      <w:r>
        <w:separator/>
      </w:r>
    </w:p>
  </w:endnote>
  <w:endnote w:type="continuationSeparator" w:id="0">
    <w:p w14:paraId="4E394A6D" w14:textId="77777777" w:rsidR="00FA1D54" w:rsidRDefault="00F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Com 45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4910" w14:textId="77777777" w:rsidR="00A562B1" w:rsidRDefault="00E156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62B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62B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0724911" w14:textId="77777777" w:rsidR="00A562B1" w:rsidRDefault="00A562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4912" w14:textId="77777777" w:rsidR="00A562B1" w:rsidRPr="003A10ED" w:rsidRDefault="00A562B1" w:rsidP="003A10ED">
    <w:pPr>
      <w:jc w:val="righ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4914" w14:textId="77777777" w:rsidR="00D50640" w:rsidRDefault="00D50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4E1D" w14:textId="77777777" w:rsidR="00FA1D54" w:rsidRDefault="00FA1D54">
      <w:r>
        <w:separator/>
      </w:r>
    </w:p>
  </w:footnote>
  <w:footnote w:type="continuationSeparator" w:id="0">
    <w:p w14:paraId="5CA011AF" w14:textId="77777777" w:rsidR="00FA1D54" w:rsidRDefault="00FA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490E" w14:textId="77777777" w:rsidR="00D50640" w:rsidRDefault="00D506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490F" w14:textId="77777777" w:rsidR="00A562B1" w:rsidRDefault="00D50640" w:rsidP="00185E50">
    <w:pPr>
      <w:pStyle w:val="Intestazione"/>
      <w:jc w:val="center"/>
    </w:pPr>
    <w:r>
      <w:rPr>
        <w:noProof/>
        <w:color w:val="1F497D"/>
        <w:lang w:val="it-IT" w:eastAsia="it-IT"/>
      </w:rPr>
      <w:drawing>
        <wp:inline distT="0" distB="0" distL="0" distR="0" wp14:anchorId="20724915" wp14:editId="20724916">
          <wp:extent cx="2286000" cy="742156"/>
          <wp:effectExtent l="0" t="0" r="0" b="1270"/>
          <wp:docPr id="10" name="Immagine 10" descr="ivass-marchio rid-2016-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vass-marchio rid-2016-bl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42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4913" w14:textId="77777777" w:rsidR="00D50640" w:rsidRDefault="00D506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7in;height:423pt" o:bullet="t">
        <v:imagedata r:id="rId1" o:title="clip_image001"/>
      </v:shape>
    </w:pict>
  </w:numPicBullet>
  <w:abstractNum w:abstractNumId="0" w15:restartNumberingAfterBreak="0">
    <w:nsid w:val="02814A54"/>
    <w:multiLevelType w:val="hybridMultilevel"/>
    <w:tmpl w:val="536EFD88"/>
    <w:lvl w:ilvl="0" w:tplc="035C2BA2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07C54606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3616"/>
    <w:multiLevelType w:val="multilevel"/>
    <w:tmpl w:val="79D6717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9CD3D80"/>
    <w:multiLevelType w:val="hybridMultilevel"/>
    <w:tmpl w:val="63042926"/>
    <w:lvl w:ilvl="0" w:tplc="B53AFDF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85F61"/>
    <w:multiLevelType w:val="hybridMultilevel"/>
    <w:tmpl w:val="8F4E18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11CBC"/>
    <w:multiLevelType w:val="hybridMultilevel"/>
    <w:tmpl w:val="3D880146"/>
    <w:lvl w:ilvl="0" w:tplc="A0A2EDFE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2A790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6E7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A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F0A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8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0AB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F0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448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9B4D4F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4D4C31"/>
    <w:multiLevelType w:val="multilevel"/>
    <w:tmpl w:val="3AF078A6"/>
    <w:styleLink w:val="Decision"/>
    <w:lvl w:ilvl="0">
      <w:start w:val="1"/>
      <w:numFmt w:val="decimal"/>
      <w:pStyle w:val="Titles"/>
      <w:suff w:val="space"/>
      <w:lvlText w:val="Tit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hapter"/>
      <w:suff w:val="space"/>
      <w:lvlText w:val="Chapter %2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Article"/>
      <w:suff w:val="space"/>
      <w:lvlText w:val="Article 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Para1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ub-paraa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Sub-parai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8" w15:restartNumberingAfterBreak="0">
    <w:nsid w:val="1BBE02F9"/>
    <w:multiLevelType w:val="hybridMultilevel"/>
    <w:tmpl w:val="8CC863C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B5C2F"/>
    <w:multiLevelType w:val="hybridMultilevel"/>
    <w:tmpl w:val="62F490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187D3B"/>
    <w:multiLevelType w:val="hybridMultilevel"/>
    <w:tmpl w:val="41360ECC"/>
    <w:lvl w:ilvl="0" w:tplc="7BE2020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55C7621"/>
    <w:multiLevelType w:val="multilevel"/>
    <w:tmpl w:val="4DCE6238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29600BDA"/>
    <w:multiLevelType w:val="hybridMultilevel"/>
    <w:tmpl w:val="CF5EF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6263CF"/>
    <w:multiLevelType w:val="multilevel"/>
    <w:tmpl w:val="3AF078A6"/>
    <w:numStyleLink w:val="Decision"/>
  </w:abstractNum>
  <w:abstractNum w:abstractNumId="16" w15:restartNumberingAfterBreak="0">
    <w:nsid w:val="2CBB33D7"/>
    <w:multiLevelType w:val="hybridMultilevel"/>
    <w:tmpl w:val="05F6FAD4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18A0A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B412F"/>
    <w:multiLevelType w:val="hybridMultilevel"/>
    <w:tmpl w:val="C98CB5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501E7"/>
    <w:multiLevelType w:val="hybridMultilevel"/>
    <w:tmpl w:val="6BB68CAC"/>
    <w:lvl w:ilvl="0" w:tplc="79C0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A767D"/>
    <w:multiLevelType w:val="multilevel"/>
    <w:tmpl w:val="E27A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3249567D"/>
    <w:multiLevelType w:val="hybridMultilevel"/>
    <w:tmpl w:val="770EC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11729"/>
    <w:multiLevelType w:val="hybridMultilevel"/>
    <w:tmpl w:val="7166EB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C7A05"/>
    <w:multiLevelType w:val="multilevel"/>
    <w:tmpl w:val="4C5A7D5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3D3969F8"/>
    <w:multiLevelType w:val="hybridMultilevel"/>
    <w:tmpl w:val="B0FADA60"/>
    <w:lvl w:ilvl="0" w:tplc="A8CE68C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F541A"/>
    <w:multiLevelType w:val="multilevel"/>
    <w:tmpl w:val="6582C4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  <w:color w:val="FFFFFF"/>
      </w:rPr>
    </w:lvl>
    <w:lvl w:ilvl="1">
      <w:start w:val="1"/>
      <w:numFmt w:val="decimal"/>
      <w:pStyle w:val="QISTextCharCharCharCharCharCharCharCharCharCharCharCharChar1CharChar"/>
      <w:lvlText w:val="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44261A85"/>
    <w:multiLevelType w:val="hybridMultilevel"/>
    <w:tmpl w:val="9C3C1076"/>
    <w:lvl w:ilvl="0" w:tplc="0F768706">
      <w:start w:val="1"/>
      <w:numFmt w:val="decimal"/>
      <w:pStyle w:val="04aNumeration"/>
      <w:lvlText w:val="%1."/>
      <w:lvlJc w:val="left"/>
      <w:pPr>
        <w:tabs>
          <w:tab w:val="num" w:pos="284"/>
        </w:tabs>
        <w:ind w:left="284" w:hanging="284"/>
      </w:pPr>
      <w:rPr>
        <w:rFonts w:ascii="Georgia" w:hAnsi="Georgia" w:cs="Times New Roman" w:hint="default"/>
        <w:sz w:val="20"/>
      </w:rPr>
    </w:lvl>
    <w:lvl w:ilvl="1" w:tplc="CF12A1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193E34"/>
    <w:multiLevelType w:val="multilevel"/>
    <w:tmpl w:val="83082EF8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7D04C22"/>
    <w:multiLevelType w:val="multilevel"/>
    <w:tmpl w:val="1B142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504826C6"/>
    <w:multiLevelType w:val="hybridMultilevel"/>
    <w:tmpl w:val="7E642CE6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0" w15:restartNumberingAfterBreak="0">
    <w:nsid w:val="51DE0545"/>
    <w:multiLevelType w:val="hybridMultilevel"/>
    <w:tmpl w:val="EEF60ACA"/>
    <w:lvl w:ilvl="0" w:tplc="3FD6641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C75A5"/>
    <w:multiLevelType w:val="hybridMultilevel"/>
    <w:tmpl w:val="15001746"/>
    <w:lvl w:ilvl="0" w:tplc="0409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2" w15:restartNumberingAfterBreak="0">
    <w:nsid w:val="559C7E7A"/>
    <w:multiLevelType w:val="multilevel"/>
    <w:tmpl w:val="55B47594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565B2E0B"/>
    <w:multiLevelType w:val="multilevel"/>
    <w:tmpl w:val="524207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4" w15:restartNumberingAfterBreak="0">
    <w:nsid w:val="56E14291"/>
    <w:multiLevelType w:val="hybridMultilevel"/>
    <w:tmpl w:val="390CCB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4B34A2"/>
    <w:multiLevelType w:val="multilevel"/>
    <w:tmpl w:val="EABE2E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 w15:restartNumberingAfterBreak="0">
    <w:nsid w:val="5B3F593C"/>
    <w:multiLevelType w:val="hybridMultilevel"/>
    <w:tmpl w:val="4FC6F15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D3579C"/>
    <w:multiLevelType w:val="hybridMultilevel"/>
    <w:tmpl w:val="A2AE55E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D8F1467"/>
    <w:multiLevelType w:val="hybridMultilevel"/>
    <w:tmpl w:val="DB4C7C68"/>
    <w:lvl w:ilvl="0" w:tplc="6792E460">
      <w:start w:val="4"/>
      <w:numFmt w:val="bullet"/>
      <w:lvlText w:val="-"/>
      <w:lvlJc w:val="left"/>
      <w:pPr>
        <w:ind w:left="502" w:hanging="360"/>
      </w:pPr>
      <w:rPr>
        <w:rFonts w:ascii="Century" w:eastAsia="Times New Roman" w:hAnsi="Century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5E31570F"/>
    <w:multiLevelType w:val="hybridMultilevel"/>
    <w:tmpl w:val="66F079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62143D"/>
    <w:multiLevelType w:val="hybridMultilevel"/>
    <w:tmpl w:val="49046B5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6663289D"/>
    <w:multiLevelType w:val="hybridMultilevel"/>
    <w:tmpl w:val="8A44B6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D124FC"/>
    <w:multiLevelType w:val="hybridMultilevel"/>
    <w:tmpl w:val="2C0C451C"/>
    <w:lvl w:ilvl="0" w:tplc="0409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7F86056A"/>
    <w:multiLevelType w:val="hybridMultilevel"/>
    <w:tmpl w:val="E6FE4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375194">
    <w:abstractNumId w:val="11"/>
  </w:num>
  <w:num w:numId="2" w16cid:durableId="1661035005">
    <w:abstractNumId w:val="5"/>
  </w:num>
  <w:num w:numId="3" w16cid:durableId="1552690840">
    <w:abstractNumId w:val="24"/>
  </w:num>
  <w:num w:numId="4" w16cid:durableId="1258367037">
    <w:abstractNumId w:val="14"/>
  </w:num>
  <w:num w:numId="5" w16cid:durableId="467936741">
    <w:abstractNumId w:val="25"/>
  </w:num>
  <w:num w:numId="6" w16cid:durableId="188182957">
    <w:abstractNumId w:val="13"/>
  </w:num>
  <w:num w:numId="7" w16cid:durableId="1956518027">
    <w:abstractNumId w:val="26"/>
  </w:num>
  <w:num w:numId="8" w16cid:durableId="553393657">
    <w:abstractNumId w:val="16"/>
  </w:num>
  <w:num w:numId="9" w16cid:durableId="940841834">
    <w:abstractNumId w:val="7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0" w16cid:durableId="354841749">
    <w:abstractNumId w:val="15"/>
    <w:lvlOverride w:ilvl="0">
      <w:lvl w:ilvl="0">
        <w:start w:val="1"/>
        <w:numFmt w:val="decimal"/>
        <w:pStyle w:val="Titles"/>
        <w:suff w:val="space"/>
        <w:lvlText w:val="Title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hapter"/>
        <w:suff w:val="space"/>
        <w:lvlText w:val="Chapter %2"/>
        <w:lvlJc w:val="left"/>
        <w:pPr>
          <w:ind w:left="0" w:firstLine="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lvlRestart w:val="0"/>
        <w:pStyle w:val="Article"/>
        <w:suff w:val="space"/>
        <w:lvlText w:val="Article 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Para1"/>
        <w:lvlText w:val="(%4)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Sub-paraa"/>
        <w:lvlText w:val="(%5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pStyle w:val="Sub-parai"/>
        <w:lvlText w:val="(%6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tabs>
            <w:tab w:val="num" w:pos="1296"/>
          </w:tabs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440"/>
          </w:tabs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Restart w:val="2"/>
        <w:lvlText w:val="%9.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11" w16cid:durableId="130178879">
    <w:abstractNumId w:val="28"/>
  </w:num>
  <w:num w:numId="12" w16cid:durableId="1629701775">
    <w:abstractNumId w:val="33"/>
  </w:num>
  <w:num w:numId="13" w16cid:durableId="900797015">
    <w:abstractNumId w:val="39"/>
  </w:num>
  <w:num w:numId="14" w16cid:durableId="576980070">
    <w:abstractNumId w:val="22"/>
  </w:num>
  <w:num w:numId="15" w16cid:durableId="1340347855">
    <w:abstractNumId w:val="27"/>
  </w:num>
  <w:num w:numId="16" w16cid:durableId="815686804">
    <w:abstractNumId w:val="2"/>
  </w:num>
  <w:num w:numId="17" w16cid:durableId="2065908023">
    <w:abstractNumId w:val="42"/>
  </w:num>
  <w:num w:numId="18" w16cid:durableId="8457931">
    <w:abstractNumId w:val="9"/>
  </w:num>
  <w:num w:numId="19" w16cid:durableId="1266341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1318793">
    <w:abstractNumId w:val="36"/>
  </w:num>
  <w:num w:numId="21" w16cid:durableId="370308107">
    <w:abstractNumId w:val="10"/>
  </w:num>
  <w:num w:numId="22" w16cid:durableId="29958523">
    <w:abstractNumId w:val="35"/>
  </w:num>
  <w:num w:numId="23" w16cid:durableId="230046393">
    <w:abstractNumId w:val="19"/>
  </w:num>
  <w:num w:numId="24" w16cid:durableId="327637870">
    <w:abstractNumId w:val="3"/>
  </w:num>
  <w:num w:numId="25" w16cid:durableId="353963914">
    <w:abstractNumId w:val="41"/>
  </w:num>
  <w:num w:numId="26" w16cid:durableId="563830323">
    <w:abstractNumId w:val="12"/>
  </w:num>
  <w:num w:numId="27" w16cid:durableId="7691992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0161139">
    <w:abstractNumId w:val="6"/>
  </w:num>
  <w:num w:numId="29" w16cid:durableId="137495736">
    <w:abstractNumId w:val="1"/>
  </w:num>
  <w:num w:numId="30" w16cid:durableId="33774018">
    <w:abstractNumId w:val="34"/>
  </w:num>
  <w:num w:numId="31" w16cid:durableId="706954877">
    <w:abstractNumId w:val="32"/>
  </w:num>
  <w:num w:numId="32" w16cid:durableId="2107917371">
    <w:abstractNumId w:val="18"/>
  </w:num>
  <w:num w:numId="33" w16cid:durableId="743717949">
    <w:abstractNumId w:val="23"/>
  </w:num>
  <w:num w:numId="34" w16cid:durableId="182788507">
    <w:abstractNumId w:val="4"/>
  </w:num>
  <w:num w:numId="35" w16cid:durableId="1849951940">
    <w:abstractNumId w:val="43"/>
  </w:num>
  <w:num w:numId="36" w16cid:durableId="1133866748">
    <w:abstractNumId w:val="21"/>
  </w:num>
  <w:num w:numId="37" w16cid:durableId="1310555517">
    <w:abstractNumId w:val="7"/>
  </w:num>
  <w:num w:numId="38" w16cid:durableId="2122139163">
    <w:abstractNumId w:val="38"/>
  </w:num>
  <w:num w:numId="39" w16cid:durableId="844132331">
    <w:abstractNumId w:val="30"/>
  </w:num>
  <w:num w:numId="40" w16cid:durableId="2102336369">
    <w:abstractNumId w:val="37"/>
  </w:num>
  <w:num w:numId="41" w16cid:durableId="1269777476">
    <w:abstractNumId w:val="20"/>
  </w:num>
  <w:num w:numId="42" w16cid:durableId="270402141">
    <w:abstractNumId w:val="29"/>
  </w:num>
  <w:num w:numId="43" w16cid:durableId="1223323210">
    <w:abstractNumId w:val="17"/>
  </w:num>
  <w:num w:numId="44" w16cid:durableId="1661498586">
    <w:abstractNumId w:val="0"/>
  </w:num>
  <w:num w:numId="45" w16cid:durableId="647326782">
    <w:abstractNumId w:val="31"/>
  </w:num>
  <w:num w:numId="46" w16cid:durableId="168540389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39"/>
    <w:rsid w:val="000014BC"/>
    <w:rsid w:val="00002926"/>
    <w:rsid w:val="000102E7"/>
    <w:rsid w:val="000109CD"/>
    <w:rsid w:val="00010AB5"/>
    <w:rsid w:val="00015293"/>
    <w:rsid w:val="00020EEB"/>
    <w:rsid w:val="00024287"/>
    <w:rsid w:val="00027478"/>
    <w:rsid w:val="00033CCC"/>
    <w:rsid w:val="000346C1"/>
    <w:rsid w:val="000363B3"/>
    <w:rsid w:val="00036C1B"/>
    <w:rsid w:val="00040F83"/>
    <w:rsid w:val="00041536"/>
    <w:rsid w:val="0005214C"/>
    <w:rsid w:val="00052570"/>
    <w:rsid w:val="0005298E"/>
    <w:rsid w:val="00053565"/>
    <w:rsid w:val="000536D7"/>
    <w:rsid w:val="000569A6"/>
    <w:rsid w:val="00061CF8"/>
    <w:rsid w:val="000634C5"/>
    <w:rsid w:val="00064913"/>
    <w:rsid w:val="00066ABD"/>
    <w:rsid w:val="000728E2"/>
    <w:rsid w:val="000772EB"/>
    <w:rsid w:val="0008066A"/>
    <w:rsid w:val="00082B03"/>
    <w:rsid w:val="00082D5E"/>
    <w:rsid w:val="0008459C"/>
    <w:rsid w:val="00084B95"/>
    <w:rsid w:val="00084CDE"/>
    <w:rsid w:val="00085BE0"/>
    <w:rsid w:val="00086905"/>
    <w:rsid w:val="0009570F"/>
    <w:rsid w:val="00096230"/>
    <w:rsid w:val="000963E5"/>
    <w:rsid w:val="000A207B"/>
    <w:rsid w:val="000A22BE"/>
    <w:rsid w:val="000A6467"/>
    <w:rsid w:val="000A668D"/>
    <w:rsid w:val="000A69DB"/>
    <w:rsid w:val="000B222E"/>
    <w:rsid w:val="000B33D5"/>
    <w:rsid w:val="000B405F"/>
    <w:rsid w:val="000B623B"/>
    <w:rsid w:val="000C034A"/>
    <w:rsid w:val="000C0AFF"/>
    <w:rsid w:val="000C0DA8"/>
    <w:rsid w:val="000C157E"/>
    <w:rsid w:val="000C573E"/>
    <w:rsid w:val="000C59A8"/>
    <w:rsid w:val="000C5E2B"/>
    <w:rsid w:val="000D0EC2"/>
    <w:rsid w:val="000D22C9"/>
    <w:rsid w:val="000D4F15"/>
    <w:rsid w:val="000D71CF"/>
    <w:rsid w:val="000E1EBF"/>
    <w:rsid w:val="000E24F4"/>
    <w:rsid w:val="000E294F"/>
    <w:rsid w:val="000E2F28"/>
    <w:rsid w:val="000E3560"/>
    <w:rsid w:val="000E39E6"/>
    <w:rsid w:val="000E7318"/>
    <w:rsid w:val="000E774E"/>
    <w:rsid w:val="000F0609"/>
    <w:rsid w:val="000F0848"/>
    <w:rsid w:val="000F0F5C"/>
    <w:rsid w:val="000F2C55"/>
    <w:rsid w:val="000F3710"/>
    <w:rsid w:val="000F7553"/>
    <w:rsid w:val="00104156"/>
    <w:rsid w:val="00105FF4"/>
    <w:rsid w:val="00114BEE"/>
    <w:rsid w:val="001222B9"/>
    <w:rsid w:val="00122817"/>
    <w:rsid w:val="0012453F"/>
    <w:rsid w:val="00125994"/>
    <w:rsid w:val="0013011B"/>
    <w:rsid w:val="00130BB8"/>
    <w:rsid w:val="001326D8"/>
    <w:rsid w:val="00132FB8"/>
    <w:rsid w:val="00133481"/>
    <w:rsid w:val="00133B85"/>
    <w:rsid w:val="00133D3C"/>
    <w:rsid w:val="00137079"/>
    <w:rsid w:val="0014188F"/>
    <w:rsid w:val="00141C97"/>
    <w:rsid w:val="0014253C"/>
    <w:rsid w:val="00144353"/>
    <w:rsid w:val="00144A9D"/>
    <w:rsid w:val="00146223"/>
    <w:rsid w:val="00147F4C"/>
    <w:rsid w:val="00154177"/>
    <w:rsid w:val="0016158E"/>
    <w:rsid w:val="00172B11"/>
    <w:rsid w:val="001744B5"/>
    <w:rsid w:val="001826AC"/>
    <w:rsid w:val="00184256"/>
    <w:rsid w:val="001847E2"/>
    <w:rsid w:val="00184B50"/>
    <w:rsid w:val="00184EBC"/>
    <w:rsid w:val="00185E50"/>
    <w:rsid w:val="00190A65"/>
    <w:rsid w:val="00192BB1"/>
    <w:rsid w:val="001938E9"/>
    <w:rsid w:val="00194774"/>
    <w:rsid w:val="00194E23"/>
    <w:rsid w:val="00196A0F"/>
    <w:rsid w:val="001A321C"/>
    <w:rsid w:val="001A687E"/>
    <w:rsid w:val="001B01B0"/>
    <w:rsid w:val="001B268D"/>
    <w:rsid w:val="001B45A5"/>
    <w:rsid w:val="001B5F38"/>
    <w:rsid w:val="001B7F6A"/>
    <w:rsid w:val="001C06CC"/>
    <w:rsid w:val="001C4B88"/>
    <w:rsid w:val="001D1456"/>
    <w:rsid w:val="001D155B"/>
    <w:rsid w:val="001D433C"/>
    <w:rsid w:val="001D5489"/>
    <w:rsid w:val="001D650E"/>
    <w:rsid w:val="001E1632"/>
    <w:rsid w:val="001E1837"/>
    <w:rsid w:val="001E3114"/>
    <w:rsid w:val="001E556F"/>
    <w:rsid w:val="001E5C36"/>
    <w:rsid w:val="001F48BC"/>
    <w:rsid w:val="001F4F86"/>
    <w:rsid w:val="00201A05"/>
    <w:rsid w:val="0020411A"/>
    <w:rsid w:val="002063B1"/>
    <w:rsid w:val="0021050E"/>
    <w:rsid w:val="002134E4"/>
    <w:rsid w:val="002150B3"/>
    <w:rsid w:val="00220210"/>
    <w:rsid w:val="0022366B"/>
    <w:rsid w:val="002238EE"/>
    <w:rsid w:val="00224F89"/>
    <w:rsid w:val="0022530C"/>
    <w:rsid w:val="00226071"/>
    <w:rsid w:val="00226A74"/>
    <w:rsid w:val="00226FC2"/>
    <w:rsid w:val="00230110"/>
    <w:rsid w:val="00234A04"/>
    <w:rsid w:val="0023690E"/>
    <w:rsid w:val="00240AE0"/>
    <w:rsid w:val="00242A93"/>
    <w:rsid w:val="00243997"/>
    <w:rsid w:val="002443A2"/>
    <w:rsid w:val="00245F64"/>
    <w:rsid w:val="00246899"/>
    <w:rsid w:val="00246E0E"/>
    <w:rsid w:val="00246EA3"/>
    <w:rsid w:val="002474C8"/>
    <w:rsid w:val="00247655"/>
    <w:rsid w:val="00250049"/>
    <w:rsid w:val="00251095"/>
    <w:rsid w:val="002529D7"/>
    <w:rsid w:val="002532D9"/>
    <w:rsid w:val="00254CEE"/>
    <w:rsid w:val="00255476"/>
    <w:rsid w:val="00255F82"/>
    <w:rsid w:val="00255FB8"/>
    <w:rsid w:val="00256630"/>
    <w:rsid w:val="00257A9F"/>
    <w:rsid w:val="00260BF2"/>
    <w:rsid w:val="00260F5E"/>
    <w:rsid w:val="00262E28"/>
    <w:rsid w:val="0026595D"/>
    <w:rsid w:val="00265D27"/>
    <w:rsid w:val="002660D0"/>
    <w:rsid w:val="00266453"/>
    <w:rsid w:val="00266961"/>
    <w:rsid w:val="00267BC0"/>
    <w:rsid w:val="00270E5A"/>
    <w:rsid w:val="002713E5"/>
    <w:rsid w:val="002715FB"/>
    <w:rsid w:val="002744AF"/>
    <w:rsid w:val="002761C3"/>
    <w:rsid w:val="002764B2"/>
    <w:rsid w:val="00277199"/>
    <w:rsid w:val="00281F90"/>
    <w:rsid w:val="0028606A"/>
    <w:rsid w:val="00286857"/>
    <w:rsid w:val="002874F3"/>
    <w:rsid w:val="0029094E"/>
    <w:rsid w:val="00291328"/>
    <w:rsid w:val="00293DB4"/>
    <w:rsid w:val="002A0A71"/>
    <w:rsid w:val="002A7A91"/>
    <w:rsid w:val="002B3E39"/>
    <w:rsid w:val="002B452F"/>
    <w:rsid w:val="002C131D"/>
    <w:rsid w:val="002C32A1"/>
    <w:rsid w:val="002C479A"/>
    <w:rsid w:val="002C54E6"/>
    <w:rsid w:val="002C6BBB"/>
    <w:rsid w:val="002C7068"/>
    <w:rsid w:val="002D076A"/>
    <w:rsid w:val="002D520F"/>
    <w:rsid w:val="002D61BC"/>
    <w:rsid w:val="002E66BF"/>
    <w:rsid w:val="002F374F"/>
    <w:rsid w:val="002F3F18"/>
    <w:rsid w:val="002F40AF"/>
    <w:rsid w:val="002F4133"/>
    <w:rsid w:val="002F7041"/>
    <w:rsid w:val="002F7629"/>
    <w:rsid w:val="003023D2"/>
    <w:rsid w:val="00302D8E"/>
    <w:rsid w:val="0030434D"/>
    <w:rsid w:val="00305E32"/>
    <w:rsid w:val="00305ED0"/>
    <w:rsid w:val="0031002E"/>
    <w:rsid w:val="00310241"/>
    <w:rsid w:val="00312C21"/>
    <w:rsid w:val="003130F7"/>
    <w:rsid w:val="00315112"/>
    <w:rsid w:val="00315DC2"/>
    <w:rsid w:val="00316B5B"/>
    <w:rsid w:val="00317597"/>
    <w:rsid w:val="00324562"/>
    <w:rsid w:val="00327E86"/>
    <w:rsid w:val="00330317"/>
    <w:rsid w:val="00330607"/>
    <w:rsid w:val="00332697"/>
    <w:rsid w:val="00333B41"/>
    <w:rsid w:val="00340488"/>
    <w:rsid w:val="00340E61"/>
    <w:rsid w:val="00342456"/>
    <w:rsid w:val="003444E0"/>
    <w:rsid w:val="00347CFD"/>
    <w:rsid w:val="003503FB"/>
    <w:rsid w:val="00351538"/>
    <w:rsid w:val="0035230A"/>
    <w:rsid w:val="00352BC2"/>
    <w:rsid w:val="00357982"/>
    <w:rsid w:val="00361E3E"/>
    <w:rsid w:val="00365204"/>
    <w:rsid w:val="003663D2"/>
    <w:rsid w:val="003722FF"/>
    <w:rsid w:val="0037283C"/>
    <w:rsid w:val="00375E3A"/>
    <w:rsid w:val="00380DEE"/>
    <w:rsid w:val="00380ECE"/>
    <w:rsid w:val="00381839"/>
    <w:rsid w:val="003819B3"/>
    <w:rsid w:val="00382664"/>
    <w:rsid w:val="00383BAB"/>
    <w:rsid w:val="00384779"/>
    <w:rsid w:val="0039488F"/>
    <w:rsid w:val="00394DCA"/>
    <w:rsid w:val="00395008"/>
    <w:rsid w:val="00395C3A"/>
    <w:rsid w:val="003A10ED"/>
    <w:rsid w:val="003A34AF"/>
    <w:rsid w:val="003B2B82"/>
    <w:rsid w:val="003B3901"/>
    <w:rsid w:val="003B39D0"/>
    <w:rsid w:val="003C09DE"/>
    <w:rsid w:val="003C2F63"/>
    <w:rsid w:val="003C4730"/>
    <w:rsid w:val="003C5D29"/>
    <w:rsid w:val="003C78E3"/>
    <w:rsid w:val="003C7B87"/>
    <w:rsid w:val="003D4F71"/>
    <w:rsid w:val="003D6081"/>
    <w:rsid w:val="003D638E"/>
    <w:rsid w:val="003D7292"/>
    <w:rsid w:val="003D7905"/>
    <w:rsid w:val="003D7922"/>
    <w:rsid w:val="003E0F34"/>
    <w:rsid w:val="003E1FDD"/>
    <w:rsid w:val="003E2C82"/>
    <w:rsid w:val="003F235A"/>
    <w:rsid w:val="003F3EAB"/>
    <w:rsid w:val="0040017D"/>
    <w:rsid w:val="00400C0B"/>
    <w:rsid w:val="00402186"/>
    <w:rsid w:val="00402AE7"/>
    <w:rsid w:val="004046B8"/>
    <w:rsid w:val="00404C50"/>
    <w:rsid w:val="00411223"/>
    <w:rsid w:val="004115A7"/>
    <w:rsid w:val="0041199E"/>
    <w:rsid w:val="00412592"/>
    <w:rsid w:val="00413375"/>
    <w:rsid w:val="00413494"/>
    <w:rsid w:val="0042045C"/>
    <w:rsid w:val="0042052E"/>
    <w:rsid w:val="00420BAA"/>
    <w:rsid w:val="004213B5"/>
    <w:rsid w:val="00422374"/>
    <w:rsid w:val="00422456"/>
    <w:rsid w:val="0042306E"/>
    <w:rsid w:val="00423AD4"/>
    <w:rsid w:val="004260B2"/>
    <w:rsid w:val="004260C3"/>
    <w:rsid w:val="00427866"/>
    <w:rsid w:val="004361DE"/>
    <w:rsid w:val="00440812"/>
    <w:rsid w:val="00441B9D"/>
    <w:rsid w:val="0044348F"/>
    <w:rsid w:val="00445DD4"/>
    <w:rsid w:val="00446722"/>
    <w:rsid w:val="00447CC1"/>
    <w:rsid w:val="00453B39"/>
    <w:rsid w:val="004546B5"/>
    <w:rsid w:val="00454F09"/>
    <w:rsid w:val="0045695B"/>
    <w:rsid w:val="0046164A"/>
    <w:rsid w:val="00462425"/>
    <w:rsid w:val="004644CC"/>
    <w:rsid w:val="004647A0"/>
    <w:rsid w:val="00472F00"/>
    <w:rsid w:val="00475543"/>
    <w:rsid w:val="00475A4A"/>
    <w:rsid w:val="00476D02"/>
    <w:rsid w:val="00480194"/>
    <w:rsid w:val="00485C3B"/>
    <w:rsid w:val="00486779"/>
    <w:rsid w:val="00487ECC"/>
    <w:rsid w:val="00491EAA"/>
    <w:rsid w:val="004932F0"/>
    <w:rsid w:val="004939DC"/>
    <w:rsid w:val="00493C19"/>
    <w:rsid w:val="00495ACD"/>
    <w:rsid w:val="00495D73"/>
    <w:rsid w:val="004A1D2F"/>
    <w:rsid w:val="004A4F23"/>
    <w:rsid w:val="004B0AAB"/>
    <w:rsid w:val="004B2332"/>
    <w:rsid w:val="004B3512"/>
    <w:rsid w:val="004B3E27"/>
    <w:rsid w:val="004B7469"/>
    <w:rsid w:val="004C2A2D"/>
    <w:rsid w:val="004C2F9D"/>
    <w:rsid w:val="004C7A2E"/>
    <w:rsid w:val="004D060E"/>
    <w:rsid w:val="004D4C1D"/>
    <w:rsid w:val="004D60AB"/>
    <w:rsid w:val="004D70C2"/>
    <w:rsid w:val="004E1753"/>
    <w:rsid w:val="004E18F2"/>
    <w:rsid w:val="004E3C7E"/>
    <w:rsid w:val="004E521D"/>
    <w:rsid w:val="004E67DF"/>
    <w:rsid w:val="004E6899"/>
    <w:rsid w:val="004E7016"/>
    <w:rsid w:val="004E70B7"/>
    <w:rsid w:val="004F12EE"/>
    <w:rsid w:val="004F5DF2"/>
    <w:rsid w:val="004F7505"/>
    <w:rsid w:val="004F773B"/>
    <w:rsid w:val="005002D0"/>
    <w:rsid w:val="00500D6C"/>
    <w:rsid w:val="00501751"/>
    <w:rsid w:val="00502F54"/>
    <w:rsid w:val="00506B99"/>
    <w:rsid w:val="00506BFD"/>
    <w:rsid w:val="005073B6"/>
    <w:rsid w:val="0051017A"/>
    <w:rsid w:val="0051518C"/>
    <w:rsid w:val="00515300"/>
    <w:rsid w:val="00515BB7"/>
    <w:rsid w:val="00517E40"/>
    <w:rsid w:val="00517F9F"/>
    <w:rsid w:val="005210A0"/>
    <w:rsid w:val="00524716"/>
    <w:rsid w:val="00524A6F"/>
    <w:rsid w:val="0052796E"/>
    <w:rsid w:val="00532E01"/>
    <w:rsid w:val="00533BA7"/>
    <w:rsid w:val="00534A4D"/>
    <w:rsid w:val="00537BC0"/>
    <w:rsid w:val="005425ED"/>
    <w:rsid w:val="00542AE4"/>
    <w:rsid w:val="0054411E"/>
    <w:rsid w:val="00544B1D"/>
    <w:rsid w:val="0054540A"/>
    <w:rsid w:val="00545BA2"/>
    <w:rsid w:val="005467BB"/>
    <w:rsid w:val="00547247"/>
    <w:rsid w:val="005514C6"/>
    <w:rsid w:val="00554C5F"/>
    <w:rsid w:val="00556E37"/>
    <w:rsid w:val="0055777E"/>
    <w:rsid w:val="005615DB"/>
    <w:rsid w:val="00562801"/>
    <w:rsid w:val="00566A3E"/>
    <w:rsid w:val="00567445"/>
    <w:rsid w:val="00570075"/>
    <w:rsid w:val="005700E2"/>
    <w:rsid w:val="0057059E"/>
    <w:rsid w:val="005716FF"/>
    <w:rsid w:val="00572597"/>
    <w:rsid w:val="00575D5F"/>
    <w:rsid w:val="005761EE"/>
    <w:rsid w:val="00577A5A"/>
    <w:rsid w:val="00580C70"/>
    <w:rsid w:val="00581441"/>
    <w:rsid w:val="00581ED1"/>
    <w:rsid w:val="0058372C"/>
    <w:rsid w:val="00583BC1"/>
    <w:rsid w:val="00584C25"/>
    <w:rsid w:val="00586182"/>
    <w:rsid w:val="00587583"/>
    <w:rsid w:val="00587EEE"/>
    <w:rsid w:val="00591C6E"/>
    <w:rsid w:val="0059322E"/>
    <w:rsid w:val="00593A77"/>
    <w:rsid w:val="00594F31"/>
    <w:rsid w:val="00595396"/>
    <w:rsid w:val="0059666A"/>
    <w:rsid w:val="00596682"/>
    <w:rsid w:val="005976C7"/>
    <w:rsid w:val="005A20CA"/>
    <w:rsid w:val="005A32C3"/>
    <w:rsid w:val="005A32EB"/>
    <w:rsid w:val="005A3421"/>
    <w:rsid w:val="005A66ED"/>
    <w:rsid w:val="005A6E4D"/>
    <w:rsid w:val="005B1425"/>
    <w:rsid w:val="005B3D66"/>
    <w:rsid w:val="005B51AB"/>
    <w:rsid w:val="005B5C9F"/>
    <w:rsid w:val="005B78F5"/>
    <w:rsid w:val="005B7AB7"/>
    <w:rsid w:val="005C2068"/>
    <w:rsid w:val="005C2F0B"/>
    <w:rsid w:val="005C4D3B"/>
    <w:rsid w:val="005C5488"/>
    <w:rsid w:val="005D25CF"/>
    <w:rsid w:val="005D38B7"/>
    <w:rsid w:val="005D4C00"/>
    <w:rsid w:val="005D7931"/>
    <w:rsid w:val="005E112C"/>
    <w:rsid w:val="005E3544"/>
    <w:rsid w:val="005E5231"/>
    <w:rsid w:val="005E5DDE"/>
    <w:rsid w:val="005F1E2A"/>
    <w:rsid w:val="005F5FD3"/>
    <w:rsid w:val="005F6C4E"/>
    <w:rsid w:val="005F77DD"/>
    <w:rsid w:val="00600336"/>
    <w:rsid w:val="006005CD"/>
    <w:rsid w:val="00600D5B"/>
    <w:rsid w:val="006030A9"/>
    <w:rsid w:val="00604F93"/>
    <w:rsid w:val="00610886"/>
    <w:rsid w:val="00612D44"/>
    <w:rsid w:val="006141A5"/>
    <w:rsid w:val="00614349"/>
    <w:rsid w:val="00622547"/>
    <w:rsid w:val="00622E5F"/>
    <w:rsid w:val="00624287"/>
    <w:rsid w:val="00624EE0"/>
    <w:rsid w:val="006263FE"/>
    <w:rsid w:val="006351C2"/>
    <w:rsid w:val="006364C5"/>
    <w:rsid w:val="00636536"/>
    <w:rsid w:val="0063653F"/>
    <w:rsid w:val="0064086E"/>
    <w:rsid w:val="00641B84"/>
    <w:rsid w:val="00644261"/>
    <w:rsid w:val="00645460"/>
    <w:rsid w:val="0064733F"/>
    <w:rsid w:val="00647E0C"/>
    <w:rsid w:val="006508B8"/>
    <w:rsid w:val="00651C58"/>
    <w:rsid w:val="00652E92"/>
    <w:rsid w:val="006533D4"/>
    <w:rsid w:val="0065620A"/>
    <w:rsid w:val="0066044C"/>
    <w:rsid w:val="00661A54"/>
    <w:rsid w:val="00661F67"/>
    <w:rsid w:val="00663027"/>
    <w:rsid w:val="00666A12"/>
    <w:rsid w:val="00670BB1"/>
    <w:rsid w:val="00672BCA"/>
    <w:rsid w:val="00673A62"/>
    <w:rsid w:val="00681723"/>
    <w:rsid w:val="00681A31"/>
    <w:rsid w:val="00682769"/>
    <w:rsid w:val="00683487"/>
    <w:rsid w:val="006852F0"/>
    <w:rsid w:val="006855E8"/>
    <w:rsid w:val="00686B20"/>
    <w:rsid w:val="006904E2"/>
    <w:rsid w:val="00691909"/>
    <w:rsid w:val="0069585B"/>
    <w:rsid w:val="00695EA4"/>
    <w:rsid w:val="00697E08"/>
    <w:rsid w:val="006A0E2C"/>
    <w:rsid w:val="006A2DD8"/>
    <w:rsid w:val="006A624D"/>
    <w:rsid w:val="006B0A1F"/>
    <w:rsid w:val="006B10AC"/>
    <w:rsid w:val="006B3849"/>
    <w:rsid w:val="006B460E"/>
    <w:rsid w:val="006B6BBC"/>
    <w:rsid w:val="006C142C"/>
    <w:rsid w:val="006C2682"/>
    <w:rsid w:val="006C4AF6"/>
    <w:rsid w:val="006C6466"/>
    <w:rsid w:val="006C6E24"/>
    <w:rsid w:val="006C7535"/>
    <w:rsid w:val="006C76D2"/>
    <w:rsid w:val="006D29DA"/>
    <w:rsid w:val="006D63DA"/>
    <w:rsid w:val="006D6C65"/>
    <w:rsid w:val="006E4308"/>
    <w:rsid w:val="006E4943"/>
    <w:rsid w:val="006F3C49"/>
    <w:rsid w:val="006F4E29"/>
    <w:rsid w:val="006F56E5"/>
    <w:rsid w:val="007023E8"/>
    <w:rsid w:val="00703CDD"/>
    <w:rsid w:val="00704E76"/>
    <w:rsid w:val="00706435"/>
    <w:rsid w:val="007103B7"/>
    <w:rsid w:val="00711E8C"/>
    <w:rsid w:val="00711EC8"/>
    <w:rsid w:val="00712A72"/>
    <w:rsid w:val="007136F6"/>
    <w:rsid w:val="00714DE7"/>
    <w:rsid w:val="00715C1C"/>
    <w:rsid w:val="00716F74"/>
    <w:rsid w:val="007176DA"/>
    <w:rsid w:val="0072713C"/>
    <w:rsid w:val="00727C57"/>
    <w:rsid w:val="00732504"/>
    <w:rsid w:val="00732780"/>
    <w:rsid w:val="007332D1"/>
    <w:rsid w:val="00733323"/>
    <w:rsid w:val="00736827"/>
    <w:rsid w:val="00737A9C"/>
    <w:rsid w:val="00737DAD"/>
    <w:rsid w:val="0074210D"/>
    <w:rsid w:val="00742551"/>
    <w:rsid w:val="00742ECE"/>
    <w:rsid w:val="0074664F"/>
    <w:rsid w:val="007506FF"/>
    <w:rsid w:val="00750A5F"/>
    <w:rsid w:val="00750C2B"/>
    <w:rsid w:val="007510DB"/>
    <w:rsid w:val="00751167"/>
    <w:rsid w:val="0075672C"/>
    <w:rsid w:val="00762128"/>
    <w:rsid w:val="00762F49"/>
    <w:rsid w:val="00764585"/>
    <w:rsid w:val="00765A0E"/>
    <w:rsid w:val="00766670"/>
    <w:rsid w:val="00766B42"/>
    <w:rsid w:val="00771586"/>
    <w:rsid w:val="007730F3"/>
    <w:rsid w:val="00774F92"/>
    <w:rsid w:val="0077611C"/>
    <w:rsid w:val="00776834"/>
    <w:rsid w:val="00777543"/>
    <w:rsid w:val="00777AAD"/>
    <w:rsid w:val="007829BF"/>
    <w:rsid w:val="00782B5C"/>
    <w:rsid w:val="00784547"/>
    <w:rsid w:val="0079271C"/>
    <w:rsid w:val="007960F5"/>
    <w:rsid w:val="0079720A"/>
    <w:rsid w:val="007A061C"/>
    <w:rsid w:val="007A5097"/>
    <w:rsid w:val="007A7D6E"/>
    <w:rsid w:val="007B10F5"/>
    <w:rsid w:val="007B15F7"/>
    <w:rsid w:val="007B1B3C"/>
    <w:rsid w:val="007B31A3"/>
    <w:rsid w:val="007B5400"/>
    <w:rsid w:val="007B59BB"/>
    <w:rsid w:val="007B65A8"/>
    <w:rsid w:val="007C01C5"/>
    <w:rsid w:val="007C0B02"/>
    <w:rsid w:val="007D3AB3"/>
    <w:rsid w:val="007E09D7"/>
    <w:rsid w:val="007E3875"/>
    <w:rsid w:val="007E4056"/>
    <w:rsid w:val="007E4319"/>
    <w:rsid w:val="007E4350"/>
    <w:rsid w:val="007E74F8"/>
    <w:rsid w:val="007E7CE1"/>
    <w:rsid w:val="0080011A"/>
    <w:rsid w:val="008014F2"/>
    <w:rsid w:val="008038E7"/>
    <w:rsid w:val="0080417A"/>
    <w:rsid w:val="00810EF2"/>
    <w:rsid w:val="008153F5"/>
    <w:rsid w:val="00817A4D"/>
    <w:rsid w:val="00820B7A"/>
    <w:rsid w:val="0082416E"/>
    <w:rsid w:val="0082441D"/>
    <w:rsid w:val="008244F0"/>
    <w:rsid w:val="008259FF"/>
    <w:rsid w:val="0082605D"/>
    <w:rsid w:val="008310E9"/>
    <w:rsid w:val="008330EE"/>
    <w:rsid w:val="00837E87"/>
    <w:rsid w:val="0084141A"/>
    <w:rsid w:val="0084299E"/>
    <w:rsid w:val="008470B3"/>
    <w:rsid w:val="00847FF1"/>
    <w:rsid w:val="00850476"/>
    <w:rsid w:val="00855013"/>
    <w:rsid w:val="00855C22"/>
    <w:rsid w:val="00856175"/>
    <w:rsid w:val="00862D2D"/>
    <w:rsid w:val="0086507E"/>
    <w:rsid w:val="00866222"/>
    <w:rsid w:val="00867195"/>
    <w:rsid w:val="008713AC"/>
    <w:rsid w:val="008716ED"/>
    <w:rsid w:val="008731CD"/>
    <w:rsid w:val="00874152"/>
    <w:rsid w:val="008756E5"/>
    <w:rsid w:val="00881B56"/>
    <w:rsid w:val="00882711"/>
    <w:rsid w:val="00882B19"/>
    <w:rsid w:val="008831ED"/>
    <w:rsid w:val="00886F8E"/>
    <w:rsid w:val="008913C9"/>
    <w:rsid w:val="008933FF"/>
    <w:rsid w:val="00893917"/>
    <w:rsid w:val="00896002"/>
    <w:rsid w:val="00896CFC"/>
    <w:rsid w:val="00897E95"/>
    <w:rsid w:val="008A19B5"/>
    <w:rsid w:val="008A2BBA"/>
    <w:rsid w:val="008A3845"/>
    <w:rsid w:val="008A3DED"/>
    <w:rsid w:val="008A49DF"/>
    <w:rsid w:val="008A4BFE"/>
    <w:rsid w:val="008A5209"/>
    <w:rsid w:val="008A5601"/>
    <w:rsid w:val="008A5809"/>
    <w:rsid w:val="008B3295"/>
    <w:rsid w:val="008B356E"/>
    <w:rsid w:val="008B3F87"/>
    <w:rsid w:val="008B4DF0"/>
    <w:rsid w:val="008B759D"/>
    <w:rsid w:val="008B7864"/>
    <w:rsid w:val="008C1F17"/>
    <w:rsid w:val="008C285E"/>
    <w:rsid w:val="008C3429"/>
    <w:rsid w:val="008C620B"/>
    <w:rsid w:val="008C67F5"/>
    <w:rsid w:val="008C76C2"/>
    <w:rsid w:val="008C7FC3"/>
    <w:rsid w:val="008D1689"/>
    <w:rsid w:val="008D3BBC"/>
    <w:rsid w:val="008D4793"/>
    <w:rsid w:val="008D53FA"/>
    <w:rsid w:val="008D6D39"/>
    <w:rsid w:val="008E0025"/>
    <w:rsid w:val="008E1ED5"/>
    <w:rsid w:val="008E2A17"/>
    <w:rsid w:val="008F3296"/>
    <w:rsid w:val="008F3A4B"/>
    <w:rsid w:val="008F4077"/>
    <w:rsid w:val="008F48FE"/>
    <w:rsid w:val="00901FDB"/>
    <w:rsid w:val="00902055"/>
    <w:rsid w:val="0090517C"/>
    <w:rsid w:val="00907097"/>
    <w:rsid w:val="00912CE3"/>
    <w:rsid w:val="00920673"/>
    <w:rsid w:val="0092348D"/>
    <w:rsid w:val="00924248"/>
    <w:rsid w:val="009263DD"/>
    <w:rsid w:val="00927412"/>
    <w:rsid w:val="0093088E"/>
    <w:rsid w:val="00932C9A"/>
    <w:rsid w:val="0094390E"/>
    <w:rsid w:val="00950705"/>
    <w:rsid w:val="009547A0"/>
    <w:rsid w:val="00960BB5"/>
    <w:rsid w:val="00960F82"/>
    <w:rsid w:val="00963BB1"/>
    <w:rsid w:val="00963C10"/>
    <w:rsid w:val="009654EB"/>
    <w:rsid w:val="00965A66"/>
    <w:rsid w:val="009662CD"/>
    <w:rsid w:val="00967FBF"/>
    <w:rsid w:val="00971C63"/>
    <w:rsid w:val="009736C7"/>
    <w:rsid w:val="00974415"/>
    <w:rsid w:val="00983846"/>
    <w:rsid w:val="0098466A"/>
    <w:rsid w:val="0098505E"/>
    <w:rsid w:val="00985BA7"/>
    <w:rsid w:val="0098611B"/>
    <w:rsid w:val="00987BE1"/>
    <w:rsid w:val="00993BF3"/>
    <w:rsid w:val="00996993"/>
    <w:rsid w:val="00996E44"/>
    <w:rsid w:val="009A149C"/>
    <w:rsid w:val="009A344D"/>
    <w:rsid w:val="009A4843"/>
    <w:rsid w:val="009A4945"/>
    <w:rsid w:val="009A5982"/>
    <w:rsid w:val="009A6CF4"/>
    <w:rsid w:val="009B22E1"/>
    <w:rsid w:val="009B4295"/>
    <w:rsid w:val="009B5FAA"/>
    <w:rsid w:val="009B7956"/>
    <w:rsid w:val="009C0CDD"/>
    <w:rsid w:val="009C2F5F"/>
    <w:rsid w:val="009C4841"/>
    <w:rsid w:val="009D24F3"/>
    <w:rsid w:val="009D3B13"/>
    <w:rsid w:val="009D4FD8"/>
    <w:rsid w:val="009D7B41"/>
    <w:rsid w:val="009E0ABE"/>
    <w:rsid w:val="009E5C26"/>
    <w:rsid w:val="00A01C80"/>
    <w:rsid w:val="00A01FCF"/>
    <w:rsid w:val="00A05819"/>
    <w:rsid w:val="00A12CC8"/>
    <w:rsid w:val="00A17B12"/>
    <w:rsid w:val="00A20EEE"/>
    <w:rsid w:val="00A224B1"/>
    <w:rsid w:val="00A2687D"/>
    <w:rsid w:val="00A27253"/>
    <w:rsid w:val="00A32E3D"/>
    <w:rsid w:val="00A40CB2"/>
    <w:rsid w:val="00A40EA5"/>
    <w:rsid w:val="00A446E0"/>
    <w:rsid w:val="00A5091C"/>
    <w:rsid w:val="00A5340A"/>
    <w:rsid w:val="00A540C8"/>
    <w:rsid w:val="00A5421D"/>
    <w:rsid w:val="00A5472F"/>
    <w:rsid w:val="00A54F8E"/>
    <w:rsid w:val="00A562B1"/>
    <w:rsid w:val="00A5790D"/>
    <w:rsid w:val="00A57AA9"/>
    <w:rsid w:val="00A63F5E"/>
    <w:rsid w:val="00A700D3"/>
    <w:rsid w:val="00A70FF6"/>
    <w:rsid w:val="00A719CD"/>
    <w:rsid w:val="00A74C14"/>
    <w:rsid w:val="00A7577B"/>
    <w:rsid w:val="00A7770C"/>
    <w:rsid w:val="00A778BE"/>
    <w:rsid w:val="00A8169E"/>
    <w:rsid w:val="00A850A7"/>
    <w:rsid w:val="00A856E2"/>
    <w:rsid w:val="00A87797"/>
    <w:rsid w:val="00A90568"/>
    <w:rsid w:val="00A93498"/>
    <w:rsid w:val="00A94384"/>
    <w:rsid w:val="00A95306"/>
    <w:rsid w:val="00A95941"/>
    <w:rsid w:val="00A95B37"/>
    <w:rsid w:val="00A95D0F"/>
    <w:rsid w:val="00A97AA3"/>
    <w:rsid w:val="00A97E69"/>
    <w:rsid w:val="00AA33E6"/>
    <w:rsid w:val="00AA436F"/>
    <w:rsid w:val="00AA6144"/>
    <w:rsid w:val="00AA67F2"/>
    <w:rsid w:val="00AA75A7"/>
    <w:rsid w:val="00AB097A"/>
    <w:rsid w:val="00AB1C7F"/>
    <w:rsid w:val="00AB3A5E"/>
    <w:rsid w:val="00AB4E82"/>
    <w:rsid w:val="00AB5E2F"/>
    <w:rsid w:val="00AB65F6"/>
    <w:rsid w:val="00AB776F"/>
    <w:rsid w:val="00AC2BAB"/>
    <w:rsid w:val="00AC31A9"/>
    <w:rsid w:val="00AC339F"/>
    <w:rsid w:val="00AC56AD"/>
    <w:rsid w:val="00AC5EF5"/>
    <w:rsid w:val="00AD2514"/>
    <w:rsid w:val="00AD3DA8"/>
    <w:rsid w:val="00AD3DFD"/>
    <w:rsid w:val="00AD5D12"/>
    <w:rsid w:val="00AD7D2B"/>
    <w:rsid w:val="00AE1AF0"/>
    <w:rsid w:val="00AE1E3C"/>
    <w:rsid w:val="00AE2412"/>
    <w:rsid w:val="00AE66F1"/>
    <w:rsid w:val="00AF0486"/>
    <w:rsid w:val="00AF26FD"/>
    <w:rsid w:val="00AF7DBA"/>
    <w:rsid w:val="00B002F2"/>
    <w:rsid w:val="00B066AF"/>
    <w:rsid w:val="00B10BCE"/>
    <w:rsid w:val="00B11094"/>
    <w:rsid w:val="00B11EC6"/>
    <w:rsid w:val="00B12C64"/>
    <w:rsid w:val="00B20EC2"/>
    <w:rsid w:val="00B219F4"/>
    <w:rsid w:val="00B277A6"/>
    <w:rsid w:val="00B33415"/>
    <w:rsid w:val="00B34EA0"/>
    <w:rsid w:val="00B35590"/>
    <w:rsid w:val="00B35D21"/>
    <w:rsid w:val="00B3668D"/>
    <w:rsid w:val="00B37664"/>
    <w:rsid w:val="00B4069D"/>
    <w:rsid w:val="00B418F2"/>
    <w:rsid w:val="00B47C09"/>
    <w:rsid w:val="00B53095"/>
    <w:rsid w:val="00B55547"/>
    <w:rsid w:val="00B617AA"/>
    <w:rsid w:val="00B61A39"/>
    <w:rsid w:val="00B640F3"/>
    <w:rsid w:val="00B7446F"/>
    <w:rsid w:val="00B7612B"/>
    <w:rsid w:val="00B808D8"/>
    <w:rsid w:val="00B80B71"/>
    <w:rsid w:val="00B82FCC"/>
    <w:rsid w:val="00B83D49"/>
    <w:rsid w:val="00B84EE7"/>
    <w:rsid w:val="00B8725C"/>
    <w:rsid w:val="00B913DB"/>
    <w:rsid w:val="00B920B5"/>
    <w:rsid w:val="00BA2F95"/>
    <w:rsid w:val="00BA33F5"/>
    <w:rsid w:val="00BA42FA"/>
    <w:rsid w:val="00BA5738"/>
    <w:rsid w:val="00BA5FB9"/>
    <w:rsid w:val="00BB11BB"/>
    <w:rsid w:val="00BB3802"/>
    <w:rsid w:val="00BB38C8"/>
    <w:rsid w:val="00BB5908"/>
    <w:rsid w:val="00BC0CDF"/>
    <w:rsid w:val="00BC1AB6"/>
    <w:rsid w:val="00BC1D22"/>
    <w:rsid w:val="00BC33EE"/>
    <w:rsid w:val="00BD0CAF"/>
    <w:rsid w:val="00BD2014"/>
    <w:rsid w:val="00BD2377"/>
    <w:rsid w:val="00BD27E3"/>
    <w:rsid w:val="00BD4198"/>
    <w:rsid w:val="00BD67E4"/>
    <w:rsid w:val="00BE0131"/>
    <w:rsid w:val="00BE4B32"/>
    <w:rsid w:val="00BE6CE5"/>
    <w:rsid w:val="00BF1CCC"/>
    <w:rsid w:val="00BF4FB0"/>
    <w:rsid w:val="00BF6E4C"/>
    <w:rsid w:val="00C01BCD"/>
    <w:rsid w:val="00C02434"/>
    <w:rsid w:val="00C06C04"/>
    <w:rsid w:val="00C073CA"/>
    <w:rsid w:val="00C11D10"/>
    <w:rsid w:val="00C123D3"/>
    <w:rsid w:val="00C12871"/>
    <w:rsid w:val="00C12CB0"/>
    <w:rsid w:val="00C15C9C"/>
    <w:rsid w:val="00C17FB3"/>
    <w:rsid w:val="00C21879"/>
    <w:rsid w:val="00C23B67"/>
    <w:rsid w:val="00C241F7"/>
    <w:rsid w:val="00C2464D"/>
    <w:rsid w:val="00C250F9"/>
    <w:rsid w:val="00C326FB"/>
    <w:rsid w:val="00C40653"/>
    <w:rsid w:val="00C42523"/>
    <w:rsid w:val="00C479ED"/>
    <w:rsid w:val="00C50C82"/>
    <w:rsid w:val="00C51774"/>
    <w:rsid w:val="00C51F17"/>
    <w:rsid w:val="00C54146"/>
    <w:rsid w:val="00C5527C"/>
    <w:rsid w:val="00C5529D"/>
    <w:rsid w:val="00C67A59"/>
    <w:rsid w:val="00C7151B"/>
    <w:rsid w:val="00C7176E"/>
    <w:rsid w:val="00C7188F"/>
    <w:rsid w:val="00C74028"/>
    <w:rsid w:val="00C8259C"/>
    <w:rsid w:val="00C85104"/>
    <w:rsid w:val="00C90888"/>
    <w:rsid w:val="00C90A94"/>
    <w:rsid w:val="00C91C9B"/>
    <w:rsid w:val="00C93FB4"/>
    <w:rsid w:val="00C96412"/>
    <w:rsid w:val="00CA06C2"/>
    <w:rsid w:val="00CA28E4"/>
    <w:rsid w:val="00CA5D82"/>
    <w:rsid w:val="00CA74F6"/>
    <w:rsid w:val="00CB1221"/>
    <w:rsid w:val="00CB2771"/>
    <w:rsid w:val="00CB6155"/>
    <w:rsid w:val="00CB6FFF"/>
    <w:rsid w:val="00CB7A9C"/>
    <w:rsid w:val="00CC4D62"/>
    <w:rsid w:val="00CC635A"/>
    <w:rsid w:val="00CD2653"/>
    <w:rsid w:val="00CD35BB"/>
    <w:rsid w:val="00CD41BA"/>
    <w:rsid w:val="00CD78DD"/>
    <w:rsid w:val="00CE14BE"/>
    <w:rsid w:val="00CE1A51"/>
    <w:rsid w:val="00CE2821"/>
    <w:rsid w:val="00CE2846"/>
    <w:rsid w:val="00CE3CA4"/>
    <w:rsid w:val="00CE5CAF"/>
    <w:rsid w:val="00CE6AA6"/>
    <w:rsid w:val="00CF3B31"/>
    <w:rsid w:val="00CF41D0"/>
    <w:rsid w:val="00CF46B3"/>
    <w:rsid w:val="00CF5580"/>
    <w:rsid w:val="00CF6AC6"/>
    <w:rsid w:val="00CF76C9"/>
    <w:rsid w:val="00CF7BB6"/>
    <w:rsid w:val="00D00A4C"/>
    <w:rsid w:val="00D04763"/>
    <w:rsid w:val="00D05321"/>
    <w:rsid w:val="00D0558E"/>
    <w:rsid w:val="00D05860"/>
    <w:rsid w:val="00D05F0C"/>
    <w:rsid w:val="00D11A68"/>
    <w:rsid w:val="00D12134"/>
    <w:rsid w:val="00D133AB"/>
    <w:rsid w:val="00D151AF"/>
    <w:rsid w:val="00D15722"/>
    <w:rsid w:val="00D21953"/>
    <w:rsid w:val="00D26BE6"/>
    <w:rsid w:val="00D27CD6"/>
    <w:rsid w:val="00D303BA"/>
    <w:rsid w:val="00D30B83"/>
    <w:rsid w:val="00D30DA5"/>
    <w:rsid w:val="00D33A04"/>
    <w:rsid w:val="00D408FD"/>
    <w:rsid w:val="00D5063B"/>
    <w:rsid w:val="00D50640"/>
    <w:rsid w:val="00D51A2D"/>
    <w:rsid w:val="00D53E20"/>
    <w:rsid w:val="00D56A1F"/>
    <w:rsid w:val="00D60376"/>
    <w:rsid w:val="00D619B9"/>
    <w:rsid w:val="00D61DCD"/>
    <w:rsid w:val="00D64607"/>
    <w:rsid w:val="00D65681"/>
    <w:rsid w:val="00D719F9"/>
    <w:rsid w:val="00D720E1"/>
    <w:rsid w:val="00D735D6"/>
    <w:rsid w:val="00D76846"/>
    <w:rsid w:val="00D76871"/>
    <w:rsid w:val="00D76AF1"/>
    <w:rsid w:val="00D76EEC"/>
    <w:rsid w:val="00D80341"/>
    <w:rsid w:val="00D8259A"/>
    <w:rsid w:val="00D8285B"/>
    <w:rsid w:val="00D83E91"/>
    <w:rsid w:val="00D84D5E"/>
    <w:rsid w:val="00D92448"/>
    <w:rsid w:val="00D93CD4"/>
    <w:rsid w:val="00D94B90"/>
    <w:rsid w:val="00DA233F"/>
    <w:rsid w:val="00DA6BCB"/>
    <w:rsid w:val="00DA7A66"/>
    <w:rsid w:val="00DB3534"/>
    <w:rsid w:val="00DB7916"/>
    <w:rsid w:val="00DC48F6"/>
    <w:rsid w:val="00DC52F1"/>
    <w:rsid w:val="00DC71B1"/>
    <w:rsid w:val="00DD1177"/>
    <w:rsid w:val="00DD19A4"/>
    <w:rsid w:val="00DD38C5"/>
    <w:rsid w:val="00DD4E3E"/>
    <w:rsid w:val="00DD549F"/>
    <w:rsid w:val="00DD6162"/>
    <w:rsid w:val="00DD6D48"/>
    <w:rsid w:val="00DE0092"/>
    <w:rsid w:val="00DE3DD2"/>
    <w:rsid w:val="00DE48F5"/>
    <w:rsid w:val="00DE4A97"/>
    <w:rsid w:val="00DE4DB6"/>
    <w:rsid w:val="00DE72CF"/>
    <w:rsid w:val="00DF563C"/>
    <w:rsid w:val="00E10077"/>
    <w:rsid w:val="00E111F5"/>
    <w:rsid w:val="00E129A0"/>
    <w:rsid w:val="00E14D61"/>
    <w:rsid w:val="00E15612"/>
    <w:rsid w:val="00E15E32"/>
    <w:rsid w:val="00E17CDA"/>
    <w:rsid w:val="00E20F05"/>
    <w:rsid w:val="00E22629"/>
    <w:rsid w:val="00E24033"/>
    <w:rsid w:val="00E321A6"/>
    <w:rsid w:val="00E326E2"/>
    <w:rsid w:val="00E33679"/>
    <w:rsid w:val="00E34F0E"/>
    <w:rsid w:val="00E37936"/>
    <w:rsid w:val="00E37DEA"/>
    <w:rsid w:val="00E4132A"/>
    <w:rsid w:val="00E43797"/>
    <w:rsid w:val="00E44730"/>
    <w:rsid w:val="00E47F4F"/>
    <w:rsid w:val="00E50930"/>
    <w:rsid w:val="00E54A7A"/>
    <w:rsid w:val="00E56F2B"/>
    <w:rsid w:val="00E57843"/>
    <w:rsid w:val="00E602A6"/>
    <w:rsid w:val="00E60586"/>
    <w:rsid w:val="00E65244"/>
    <w:rsid w:val="00E655C0"/>
    <w:rsid w:val="00E66B42"/>
    <w:rsid w:val="00E70060"/>
    <w:rsid w:val="00E71088"/>
    <w:rsid w:val="00E735A7"/>
    <w:rsid w:val="00E762A0"/>
    <w:rsid w:val="00E800B2"/>
    <w:rsid w:val="00E81050"/>
    <w:rsid w:val="00E86C14"/>
    <w:rsid w:val="00E86DE8"/>
    <w:rsid w:val="00E90914"/>
    <w:rsid w:val="00E90E96"/>
    <w:rsid w:val="00E91044"/>
    <w:rsid w:val="00E91AA5"/>
    <w:rsid w:val="00E93151"/>
    <w:rsid w:val="00E9388B"/>
    <w:rsid w:val="00E93DFC"/>
    <w:rsid w:val="00E94079"/>
    <w:rsid w:val="00E94C1F"/>
    <w:rsid w:val="00E97012"/>
    <w:rsid w:val="00E972C6"/>
    <w:rsid w:val="00E9798E"/>
    <w:rsid w:val="00EA0067"/>
    <w:rsid w:val="00EA06CD"/>
    <w:rsid w:val="00EA0C03"/>
    <w:rsid w:val="00EA10A0"/>
    <w:rsid w:val="00EA1C68"/>
    <w:rsid w:val="00EA263B"/>
    <w:rsid w:val="00EA4E43"/>
    <w:rsid w:val="00EB233A"/>
    <w:rsid w:val="00EB3514"/>
    <w:rsid w:val="00EB3A1E"/>
    <w:rsid w:val="00EB578D"/>
    <w:rsid w:val="00EB5FEE"/>
    <w:rsid w:val="00EB7064"/>
    <w:rsid w:val="00EB7268"/>
    <w:rsid w:val="00EB7331"/>
    <w:rsid w:val="00EC1029"/>
    <w:rsid w:val="00EC24B8"/>
    <w:rsid w:val="00EC309F"/>
    <w:rsid w:val="00EC3BDD"/>
    <w:rsid w:val="00EC4694"/>
    <w:rsid w:val="00EC632E"/>
    <w:rsid w:val="00ED0932"/>
    <w:rsid w:val="00ED5216"/>
    <w:rsid w:val="00ED7742"/>
    <w:rsid w:val="00EE0CA0"/>
    <w:rsid w:val="00EE4A9A"/>
    <w:rsid w:val="00EE5466"/>
    <w:rsid w:val="00EE578B"/>
    <w:rsid w:val="00EF0004"/>
    <w:rsid w:val="00EF0844"/>
    <w:rsid w:val="00EF3419"/>
    <w:rsid w:val="00EF424C"/>
    <w:rsid w:val="00EF583C"/>
    <w:rsid w:val="00EF5D7E"/>
    <w:rsid w:val="00EF7AE2"/>
    <w:rsid w:val="00F04F84"/>
    <w:rsid w:val="00F053AD"/>
    <w:rsid w:val="00F06C5B"/>
    <w:rsid w:val="00F075E9"/>
    <w:rsid w:val="00F11BC5"/>
    <w:rsid w:val="00F12762"/>
    <w:rsid w:val="00F1507D"/>
    <w:rsid w:val="00F16601"/>
    <w:rsid w:val="00F1713F"/>
    <w:rsid w:val="00F2087A"/>
    <w:rsid w:val="00F214A7"/>
    <w:rsid w:val="00F22F68"/>
    <w:rsid w:val="00F25271"/>
    <w:rsid w:val="00F2703F"/>
    <w:rsid w:val="00F3015F"/>
    <w:rsid w:val="00F31EDC"/>
    <w:rsid w:val="00F35DCE"/>
    <w:rsid w:val="00F35E21"/>
    <w:rsid w:val="00F368DD"/>
    <w:rsid w:val="00F37C6F"/>
    <w:rsid w:val="00F4066A"/>
    <w:rsid w:val="00F42E99"/>
    <w:rsid w:val="00F43128"/>
    <w:rsid w:val="00F44226"/>
    <w:rsid w:val="00F45EE5"/>
    <w:rsid w:val="00F46A08"/>
    <w:rsid w:val="00F50FA5"/>
    <w:rsid w:val="00F53FA3"/>
    <w:rsid w:val="00F57EEF"/>
    <w:rsid w:val="00F6188A"/>
    <w:rsid w:val="00F61E6E"/>
    <w:rsid w:val="00F65B60"/>
    <w:rsid w:val="00F65BA7"/>
    <w:rsid w:val="00F6606A"/>
    <w:rsid w:val="00F70F1C"/>
    <w:rsid w:val="00F728EB"/>
    <w:rsid w:val="00F752A4"/>
    <w:rsid w:val="00F75902"/>
    <w:rsid w:val="00F76E96"/>
    <w:rsid w:val="00F772FD"/>
    <w:rsid w:val="00F82B09"/>
    <w:rsid w:val="00F8317B"/>
    <w:rsid w:val="00F835BB"/>
    <w:rsid w:val="00F85D1C"/>
    <w:rsid w:val="00F860C4"/>
    <w:rsid w:val="00F8727A"/>
    <w:rsid w:val="00F877DA"/>
    <w:rsid w:val="00F927A4"/>
    <w:rsid w:val="00F93439"/>
    <w:rsid w:val="00F9482F"/>
    <w:rsid w:val="00F95335"/>
    <w:rsid w:val="00F95946"/>
    <w:rsid w:val="00FA02C9"/>
    <w:rsid w:val="00FA098C"/>
    <w:rsid w:val="00FA1A25"/>
    <w:rsid w:val="00FA1D54"/>
    <w:rsid w:val="00FA3187"/>
    <w:rsid w:val="00FA4DFA"/>
    <w:rsid w:val="00FA5093"/>
    <w:rsid w:val="00FA7760"/>
    <w:rsid w:val="00FB1D67"/>
    <w:rsid w:val="00FC0A25"/>
    <w:rsid w:val="00FC0ED7"/>
    <w:rsid w:val="00FC3278"/>
    <w:rsid w:val="00FC3D2C"/>
    <w:rsid w:val="00FC5F46"/>
    <w:rsid w:val="00FD0921"/>
    <w:rsid w:val="00FD0BA1"/>
    <w:rsid w:val="00FD2F4D"/>
    <w:rsid w:val="00FD4814"/>
    <w:rsid w:val="00FD7FB6"/>
    <w:rsid w:val="00FD7FC1"/>
    <w:rsid w:val="00FE1E6E"/>
    <w:rsid w:val="00FE36B1"/>
    <w:rsid w:val="00FE707C"/>
    <w:rsid w:val="00FF0E07"/>
    <w:rsid w:val="00FF1767"/>
    <w:rsid w:val="00FF2E2A"/>
    <w:rsid w:val="00FF3E3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cf"/>
    </o:shapedefaults>
    <o:shapelayout v:ext="edit">
      <o:idmap v:ext="edit" data="2"/>
    </o:shapelayout>
  </w:shapeDefaults>
  <w:decimalSymbol w:val=","/>
  <w:listSeparator w:val=";"/>
  <w14:docId w14:val="20724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D549F"/>
    <w:rPr>
      <w:sz w:val="24"/>
      <w:szCs w:val="24"/>
      <w:lang w:val="en-GB" w:eastAsia="de-DE"/>
    </w:rPr>
  </w:style>
  <w:style w:type="paragraph" w:styleId="Titolo1">
    <w:name w:val="heading 1"/>
    <w:basedOn w:val="Normale"/>
    <w:next w:val="Normale"/>
    <w:qFormat/>
    <w:rsid w:val="00DD54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D5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D549F"/>
    <w:pPr>
      <w:keepNext/>
      <w:outlineLvl w:val="2"/>
    </w:pPr>
    <w:rPr>
      <w:rFonts w:ascii="Arial" w:hAnsi="Arial" w:cs="Arial"/>
      <w:b/>
      <w:bCs/>
      <w:lang w:eastAsia="en-US"/>
    </w:rPr>
  </w:style>
  <w:style w:type="paragraph" w:styleId="Titolo5">
    <w:name w:val="heading 5"/>
    <w:basedOn w:val="Normale"/>
    <w:next w:val="Normale"/>
    <w:qFormat/>
    <w:rsid w:val="00DD5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  <w:rsid w:val="00DD549F"/>
    <w:rPr>
      <w:sz w:val="20"/>
    </w:rPr>
  </w:style>
  <w:style w:type="paragraph" w:styleId="Intestazione">
    <w:name w:val="header"/>
    <w:basedOn w:val="Normale"/>
    <w:rsid w:val="00DD549F"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rsid w:val="00DD549F"/>
    <w:pPr>
      <w:tabs>
        <w:tab w:val="center" w:pos="4536"/>
        <w:tab w:val="right" w:pos="9072"/>
      </w:tabs>
    </w:pPr>
    <w:rPr>
      <w:lang w:val="de-DE"/>
    </w:rPr>
  </w:style>
  <w:style w:type="character" w:styleId="Numeropagina">
    <w:name w:val="page number"/>
    <w:basedOn w:val="Carpredefinitoparagrafo"/>
    <w:rsid w:val="00DD549F"/>
  </w:style>
  <w:style w:type="paragraph" w:styleId="Rientrocorpodeltesto">
    <w:name w:val="Body Text Indent"/>
    <w:basedOn w:val="Normale"/>
    <w:rsid w:val="00DD549F"/>
    <w:pPr>
      <w:ind w:left="720"/>
    </w:pPr>
    <w:rPr>
      <w:rFonts w:ascii="Arial" w:hAnsi="Arial" w:cs="Arial"/>
      <w:lang w:eastAsia="en-US"/>
    </w:rPr>
  </w:style>
  <w:style w:type="paragraph" w:styleId="Corpotesto">
    <w:name w:val="Body Text"/>
    <w:basedOn w:val="Normale"/>
    <w:link w:val="CorpotestoCarattere"/>
    <w:uiPriority w:val="99"/>
    <w:rsid w:val="00DD549F"/>
    <w:pPr>
      <w:spacing w:after="120"/>
    </w:pPr>
    <w:rPr>
      <w:lang w:val="de-DE"/>
    </w:rPr>
  </w:style>
  <w:style w:type="character" w:styleId="Collegamentoipertestuale">
    <w:name w:val="Hyperlink"/>
    <w:rsid w:val="00DD549F"/>
    <w:rPr>
      <w:color w:val="0000FF"/>
      <w:u w:val="single"/>
    </w:rPr>
  </w:style>
  <w:style w:type="paragraph" w:styleId="Rientrocorpodeltesto2">
    <w:name w:val="Body Text Indent 2"/>
    <w:basedOn w:val="Normale"/>
    <w:rsid w:val="00DD549F"/>
    <w:pPr>
      <w:spacing w:after="120" w:line="480" w:lineRule="auto"/>
      <w:ind w:left="283"/>
    </w:pPr>
  </w:style>
  <w:style w:type="paragraph" w:customStyle="1" w:styleId="Subbulet">
    <w:name w:val="Subbulet"/>
    <w:basedOn w:val="Normale"/>
    <w:rsid w:val="00DD549F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eastAsia="fr-FR"/>
    </w:rPr>
  </w:style>
  <w:style w:type="character" w:customStyle="1" w:styleId="SubbuletChar">
    <w:name w:val="Subbulet Char"/>
    <w:rsid w:val="00DD549F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e"/>
    <w:rsid w:val="00DD549F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eastAsia="en-US"/>
    </w:rPr>
  </w:style>
  <w:style w:type="paragraph" w:styleId="Rientrocorpodeltesto3">
    <w:name w:val="Body Text Indent 3"/>
    <w:basedOn w:val="Normale"/>
    <w:rsid w:val="00DD549F"/>
    <w:pPr>
      <w:spacing w:after="120"/>
      <w:ind w:left="283"/>
    </w:pPr>
    <w:rPr>
      <w:sz w:val="16"/>
      <w:szCs w:val="16"/>
    </w:rPr>
  </w:style>
  <w:style w:type="paragraph" w:styleId="Testonotaapidipagina">
    <w:name w:val="footnote text"/>
    <w:basedOn w:val="Normale"/>
    <w:semiHidden/>
    <w:rsid w:val="00DD549F"/>
    <w:rPr>
      <w:szCs w:val="20"/>
      <w:lang w:val="nl-NL" w:eastAsia="nl-NL"/>
    </w:rPr>
  </w:style>
  <w:style w:type="character" w:styleId="Rimandonotaapidipagina">
    <w:name w:val="footnote reference"/>
    <w:semiHidden/>
    <w:rsid w:val="00DD549F"/>
    <w:rPr>
      <w:vertAlign w:val="superscript"/>
    </w:rPr>
  </w:style>
  <w:style w:type="paragraph" w:styleId="Corpodeltesto3">
    <w:name w:val="Body Text 3"/>
    <w:basedOn w:val="Normale"/>
    <w:rsid w:val="00DD549F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DD549F"/>
    <w:pPr>
      <w:spacing w:after="120" w:line="480" w:lineRule="auto"/>
    </w:pPr>
  </w:style>
  <w:style w:type="paragraph" w:customStyle="1" w:styleId="Anglais">
    <w:name w:val="Anglais"/>
    <w:basedOn w:val="Normale"/>
    <w:rsid w:val="00DD549F"/>
    <w:rPr>
      <w:szCs w:val="20"/>
      <w:lang w:eastAsia="en-US"/>
    </w:rPr>
  </w:style>
  <w:style w:type="character" w:styleId="Rimandonotadichiusura">
    <w:name w:val="endnote reference"/>
    <w:semiHidden/>
    <w:rsid w:val="00DD549F"/>
    <w:rPr>
      <w:vertAlign w:val="superscript"/>
    </w:rPr>
  </w:style>
  <w:style w:type="paragraph" w:customStyle="1" w:styleId="BalloonText1">
    <w:name w:val="Balloon Text1"/>
    <w:basedOn w:val="Normale"/>
    <w:semiHidden/>
    <w:rsid w:val="00DD549F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semiHidden/>
    <w:rsid w:val="00CD78DD"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e"/>
    <w:rsid w:val="00DD549F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rsid w:val="00DD549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rsid w:val="00DD5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e"/>
    <w:rsid w:val="00DD549F"/>
    <w:rPr>
      <w:rFonts w:ascii="Arial" w:hAnsi="Arial"/>
      <w:szCs w:val="20"/>
      <w:lang w:eastAsia="en-US"/>
    </w:rPr>
  </w:style>
  <w:style w:type="character" w:customStyle="1" w:styleId="Heading5Char">
    <w:name w:val="Heading 5 Char"/>
    <w:rsid w:val="00DD549F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e"/>
    <w:next w:val="Normale"/>
    <w:rsid w:val="00DD549F"/>
    <w:pPr>
      <w:spacing w:after="240"/>
      <w:jc w:val="both"/>
    </w:pPr>
    <w:rPr>
      <w:b/>
      <w:szCs w:val="20"/>
    </w:rPr>
  </w:style>
  <w:style w:type="paragraph" w:customStyle="1" w:styleId="000">
    <w:name w:val="000"/>
    <w:aliases w:val="standaard"/>
    <w:basedOn w:val="Normale"/>
    <w:rsid w:val="00DD549F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Rientronormale">
    <w:name w:val="Normal Indent"/>
    <w:basedOn w:val="Normale"/>
    <w:rsid w:val="00DD549F"/>
    <w:pPr>
      <w:spacing w:after="180" w:line="288" w:lineRule="auto"/>
      <w:ind w:left="709"/>
    </w:pPr>
    <w:rPr>
      <w:rFonts w:ascii="Arial" w:hAnsi="Arial"/>
      <w:noProof/>
      <w:sz w:val="20"/>
      <w:szCs w:val="20"/>
      <w:lang w:eastAsia="en-US"/>
    </w:rPr>
  </w:style>
  <w:style w:type="paragraph" w:customStyle="1" w:styleId="NormalBefore3pt">
    <w:name w:val="Normal + Before:  3 pt"/>
    <w:aliases w:val="After:  0 pt"/>
    <w:basedOn w:val="Normale"/>
    <w:rsid w:val="00DD549F"/>
    <w:pPr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customStyle="1" w:styleId="BodyText-CEA">
    <w:name w:val="Body Text - CEA"/>
    <w:basedOn w:val="Normale"/>
    <w:autoRedefine/>
    <w:rsid w:val="00243997"/>
    <w:pPr>
      <w:jc w:val="both"/>
    </w:pPr>
    <w:rPr>
      <w:rFonts w:ascii="Verdana" w:hAnsi="Verdana"/>
      <w:sz w:val="22"/>
      <w:szCs w:val="22"/>
    </w:rPr>
  </w:style>
  <w:style w:type="paragraph" w:customStyle="1" w:styleId="Heading2-CEA">
    <w:name w:val="Heading 2 - CEA"/>
    <w:basedOn w:val="Normale"/>
    <w:rsid w:val="00DD549F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eastAsia="fr-FR"/>
    </w:rPr>
  </w:style>
  <w:style w:type="paragraph" w:customStyle="1" w:styleId="ACbodynormal">
    <w:name w:val="AC body normal"/>
    <w:rsid w:val="00BB3802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link w:val="Heading1-CEACharCharCharCharCharCharCharCharCharCharChar"/>
    <w:rsid w:val="00CC4D62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e"/>
    <w:link w:val="Heading1-CEACharCharCharCharCharCharCharCharCharCharCharChar"/>
    <w:autoRedefine/>
    <w:rsid w:val="00CC4D62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eastAsia="fr-FR"/>
    </w:rPr>
  </w:style>
  <w:style w:type="paragraph" w:customStyle="1" w:styleId="List1-CEA">
    <w:name w:val="List 1 -  CEA"/>
    <w:basedOn w:val="Normale"/>
    <w:autoRedefine/>
    <w:rsid w:val="00CC4D62"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eastAsia="en-US"/>
    </w:rPr>
  </w:style>
  <w:style w:type="paragraph" w:customStyle="1" w:styleId="Heading1-CEA">
    <w:name w:val="Heading 1 - CEA"/>
    <w:basedOn w:val="Normale"/>
    <w:autoRedefine/>
    <w:rsid w:val="00622E5F"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eastAsia="en-US"/>
    </w:rPr>
  </w:style>
  <w:style w:type="paragraph" w:customStyle="1" w:styleId="Text">
    <w:name w:val="Text"/>
    <w:basedOn w:val="Normale"/>
    <w:rsid w:val="00226071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Bullet">
    <w:name w:val="Bullet"/>
    <w:basedOn w:val="Normale"/>
    <w:rsid w:val="00226071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eastAsia="en-US"/>
    </w:rPr>
  </w:style>
  <w:style w:type="paragraph" w:customStyle="1" w:styleId="a">
    <w:name w:val="(a)"/>
    <w:basedOn w:val="Corpotesto"/>
    <w:rsid w:val="0030434D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Corpotesto"/>
    <w:rsid w:val="0030434D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Rimandocommento">
    <w:name w:val="annotation reference"/>
    <w:uiPriority w:val="99"/>
    <w:semiHidden/>
    <w:rsid w:val="0039488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9488F"/>
    <w:rPr>
      <w:sz w:val="20"/>
      <w:szCs w:val="20"/>
      <w:lang w:val="de-DE"/>
    </w:rPr>
  </w:style>
  <w:style w:type="paragraph" w:styleId="Soggettocommento">
    <w:name w:val="annotation subject"/>
    <w:basedOn w:val="Testocommento"/>
    <w:next w:val="Testocommento"/>
    <w:semiHidden/>
    <w:rsid w:val="0039488F"/>
    <w:rPr>
      <w:b/>
      <w:bCs/>
    </w:rPr>
  </w:style>
  <w:style w:type="paragraph" w:customStyle="1" w:styleId="DocTitle">
    <w:name w:val="DocTitle"/>
    <w:basedOn w:val="Normale"/>
    <w:rsid w:val="003424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eastAsia="ja-JP"/>
    </w:rPr>
  </w:style>
  <w:style w:type="paragraph" w:customStyle="1" w:styleId="Paragraph">
    <w:name w:val="Paragraph"/>
    <w:basedOn w:val="Normale"/>
    <w:rsid w:val="00C5529D"/>
    <w:pPr>
      <w:spacing w:after="120"/>
      <w:jc w:val="both"/>
    </w:pPr>
    <w:rPr>
      <w:rFonts w:ascii="Arial" w:eastAsia="Arial Unicode MS" w:hAnsi="Arial"/>
      <w:sz w:val="18"/>
      <w:szCs w:val="18"/>
      <w:lang w:eastAsia="nl-NL"/>
    </w:rPr>
  </w:style>
  <w:style w:type="paragraph" w:customStyle="1" w:styleId="Numberedparagraph">
    <w:name w:val="Numbered paragraph"/>
    <w:rsid w:val="008A5809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e"/>
    <w:rsid w:val="008C3429"/>
    <w:pPr>
      <w:spacing w:after="240"/>
      <w:ind w:left="1134"/>
      <w:jc w:val="both"/>
    </w:pPr>
    <w:rPr>
      <w:rFonts w:ascii="Verdana" w:eastAsia="MS Mincho" w:hAnsi="Verdana"/>
      <w:sz w:val="22"/>
      <w:szCs w:val="20"/>
      <w:lang w:eastAsia="ja-JP"/>
    </w:rPr>
  </w:style>
  <w:style w:type="paragraph" w:customStyle="1" w:styleId="QISTextCharCharCharCharCharCharCharCharCharCharCharCharChar1CharChar">
    <w:name w:val="QISText Char Char Char Char Char Char Char Char Char Char Char Char Char1 Char Char"/>
    <w:basedOn w:val="Normale"/>
    <w:rsid w:val="006C6E24"/>
    <w:pPr>
      <w:numPr>
        <w:ilvl w:val="1"/>
        <w:numId w:val="5"/>
      </w:numPr>
      <w:spacing w:after="240"/>
      <w:jc w:val="both"/>
    </w:pPr>
    <w:rPr>
      <w:rFonts w:ascii="Verdana" w:eastAsia="MS Mincho" w:hAnsi="Verdana"/>
      <w:sz w:val="22"/>
      <w:szCs w:val="22"/>
      <w:lang w:eastAsia="ja-JP"/>
    </w:rPr>
  </w:style>
  <w:style w:type="table" w:styleId="Grigliatabella">
    <w:name w:val="Table Grid"/>
    <w:basedOn w:val="Tabellanormale"/>
    <w:rsid w:val="003D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commentoCarattere">
    <w:name w:val="Testo commento Carattere"/>
    <w:link w:val="Testocommento"/>
    <w:rsid w:val="005F1E2A"/>
    <w:rPr>
      <w:lang w:val="de-DE" w:eastAsia="de-DE"/>
    </w:rPr>
  </w:style>
  <w:style w:type="paragraph" w:customStyle="1" w:styleId="ListParagraph1">
    <w:name w:val="List Paragraph1"/>
    <w:basedOn w:val="Normale"/>
    <w:uiPriority w:val="34"/>
    <w:qFormat/>
    <w:rsid w:val="005F1E2A"/>
    <w:pPr>
      <w:ind w:left="708"/>
    </w:pPr>
    <w:rPr>
      <w:lang w:eastAsia="en-GB"/>
    </w:rPr>
  </w:style>
  <w:style w:type="character" w:customStyle="1" w:styleId="CorpotestoCarattere">
    <w:name w:val="Corpo testo Carattere"/>
    <w:link w:val="Corpotesto"/>
    <w:uiPriority w:val="99"/>
    <w:rsid w:val="007E3875"/>
    <w:rPr>
      <w:sz w:val="24"/>
      <w:szCs w:val="24"/>
      <w:lang w:val="de-DE" w:eastAsia="de-DE"/>
    </w:rPr>
  </w:style>
  <w:style w:type="character" w:styleId="Enfasigrassetto">
    <w:name w:val="Strong"/>
    <w:uiPriority w:val="22"/>
    <w:qFormat/>
    <w:rsid w:val="007E3875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5D0F"/>
    <w:rPr>
      <w:sz w:val="24"/>
      <w:szCs w:val="24"/>
      <w:lang w:val="de-DE" w:eastAsia="de-DE"/>
    </w:rPr>
  </w:style>
  <w:style w:type="paragraph" w:customStyle="1" w:styleId="04aNumeration">
    <w:name w:val="04a_Numeration"/>
    <w:basedOn w:val="Normale"/>
    <w:uiPriority w:val="99"/>
    <w:rsid w:val="006508B8"/>
    <w:pPr>
      <w:numPr>
        <w:numId w:val="7"/>
      </w:numPr>
      <w:spacing w:after="250" w:line="276" w:lineRule="auto"/>
      <w:jc w:val="both"/>
    </w:pPr>
    <w:rPr>
      <w:rFonts w:ascii="Georgia" w:hAnsi="Georgia"/>
      <w:szCs w:val="20"/>
    </w:rPr>
  </w:style>
  <w:style w:type="paragraph" w:customStyle="1" w:styleId="ManualNumPar1">
    <w:name w:val="Manual NumPar 1"/>
    <w:basedOn w:val="Normale"/>
    <w:next w:val="Normale"/>
    <w:link w:val="ManualNumPar1Char"/>
    <w:rsid w:val="00A5091C"/>
    <w:pPr>
      <w:spacing w:before="120" w:after="120"/>
      <w:ind w:left="850" w:hanging="850"/>
      <w:jc w:val="both"/>
    </w:pPr>
  </w:style>
  <w:style w:type="character" w:customStyle="1" w:styleId="ManualNumPar1Char">
    <w:name w:val="Manual NumPar 1 Char"/>
    <w:link w:val="ManualNumPar1"/>
    <w:rsid w:val="00A5091C"/>
    <w:rPr>
      <w:sz w:val="24"/>
      <w:szCs w:val="24"/>
      <w:lang w:eastAsia="de-DE"/>
    </w:rPr>
  </w:style>
  <w:style w:type="paragraph" w:customStyle="1" w:styleId="Chapter">
    <w:name w:val="Chapter"/>
    <w:basedOn w:val="Normale"/>
    <w:next w:val="Normale"/>
    <w:rsid w:val="00E90914"/>
    <w:pPr>
      <w:keepNext/>
      <w:numPr>
        <w:ilvl w:val="1"/>
        <w:numId w:val="10"/>
      </w:numPr>
      <w:spacing w:before="480" w:after="240"/>
      <w:contextualSpacing/>
      <w:jc w:val="center"/>
      <w:outlineLvl w:val="1"/>
    </w:pPr>
    <w:rPr>
      <w:b/>
      <w:lang w:eastAsia="en-US"/>
    </w:rPr>
  </w:style>
  <w:style w:type="paragraph" w:customStyle="1" w:styleId="Article">
    <w:name w:val="Article"/>
    <w:basedOn w:val="Normale"/>
    <w:next w:val="Normale"/>
    <w:rsid w:val="00E90914"/>
    <w:pPr>
      <w:keepNext/>
      <w:numPr>
        <w:ilvl w:val="2"/>
        <w:numId w:val="10"/>
      </w:numPr>
      <w:spacing w:after="240"/>
      <w:contextualSpacing/>
      <w:outlineLvl w:val="2"/>
    </w:pPr>
    <w:rPr>
      <w:b/>
      <w:lang w:eastAsia="en-US"/>
    </w:rPr>
  </w:style>
  <w:style w:type="numbering" w:customStyle="1" w:styleId="Decision">
    <w:name w:val="Decision"/>
    <w:basedOn w:val="Nessunelenco"/>
    <w:rsid w:val="00E90914"/>
    <w:pPr>
      <w:numPr>
        <w:numId w:val="37"/>
      </w:numPr>
    </w:pPr>
  </w:style>
  <w:style w:type="paragraph" w:customStyle="1" w:styleId="Titles">
    <w:name w:val="Titles"/>
    <w:basedOn w:val="Normale"/>
    <w:next w:val="Chapter"/>
    <w:rsid w:val="00E90914"/>
    <w:pPr>
      <w:keepNext/>
      <w:numPr>
        <w:numId w:val="10"/>
      </w:numPr>
      <w:spacing w:before="480" w:after="240"/>
      <w:contextualSpacing/>
      <w:jc w:val="center"/>
      <w:outlineLvl w:val="0"/>
    </w:pPr>
    <w:rPr>
      <w:b/>
      <w:caps/>
      <w:lang w:eastAsia="en-US"/>
    </w:rPr>
  </w:style>
  <w:style w:type="paragraph" w:customStyle="1" w:styleId="Para1">
    <w:name w:val="Para 1."/>
    <w:basedOn w:val="Normale"/>
    <w:rsid w:val="00E90914"/>
    <w:pPr>
      <w:numPr>
        <w:ilvl w:val="3"/>
        <w:numId w:val="10"/>
      </w:numPr>
      <w:spacing w:after="240"/>
      <w:outlineLvl w:val="3"/>
    </w:pPr>
    <w:rPr>
      <w:lang w:eastAsia="en-US"/>
    </w:rPr>
  </w:style>
  <w:style w:type="paragraph" w:customStyle="1" w:styleId="Sub-paraa">
    <w:name w:val="Sub-para (a)"/>
    <w:basedOn w:val="Normale"/>
    <w:rsid w:val="00E90914"/>
    <w:pPr>
      <w:numPr>
        <w:ilvl w:val="4"/>
        <w:numId w:val="10"/>
      </w:numPr>
      <w:spacing w:after="240"/>
      <w:outlineLvl w:val="4"/>
    </w:pPr>
    <w:rPr>
      <w:lang w:eastAsia="en-US"/>
    </w:rPr>
  </w:style>
  <w:style w:type="paragraph" w:customStyle="1" w:styleId="Sub-parai">
    <w:name w:val="Sub-para (i)"/>
    <w:basedOn w:val="Normale"/>
    <w:rsid w:val="00E90914"/>
    <w:pPr>
      <w:numPr>
        <w:ilvl w:val="5"/>
        <w:numId w:val="10"/>
      </w:numPr>
      <w:spacing w:after="240"/>
      <w:outlineLvl w:val="5"/>
    </w:pPr>
    <w:rPr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B47C09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link w:val="Testonormale"/>
    <w:uiPriority w:val="99"/>
    <w:rsid w:val="00B47C09"/>
    <w:rPr>
      <w:rFonts w:ascii="Calibri" w:hAnsi="Calibri"/>
      <w:sz w:val="22"/>
      <w:szCs w:val="21"/>
    </w:rPr>
  </w:style>
  <w:style w:type="paragraph" w:customStyle="1" w:styleId="Normale1">
    <w:name w:val="Normale1"/>
    <w:basedOn w:val="Normale"/>
    <w:rsid w:val="008913C9"/>
    <w:pPr>
      <w:widowControl w:val="0"/>
    </w:pPr>
    <w:rPr>
      <w:rFonts w:ascii="Arial" w:eastAsia="Arial" w:hAnsi="Arial" w:cs="Arial"/>
      <w:sz w:val="22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BE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549A.E704484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40D6B1440394692CA8EFB89E3C637" ma:contentTypeVersion="3" ma:contentTypeDescription="Creare un nuovo documento." ma:contentTypeScope="" ma:versionID="8ee797525d3d01bdfd16ff3dc64b3b45">
  <xsd:schema xmlns:xsd="http://www.w3.org/2001/XMLSchema" xmlns:xs="http://www.w3.org/2001/XMLSchema" xmlns:p="http://schemas.microsoft.com/office/2006/metadata/properties" xmlns:ns2="ec780974-a9ac-4783-9a36-f17d5002db97" targetNamespace="http://schemas.microsoft.com/office/2006/metadata/properties" ma:root="true" ma:fieldsID="5ef453d18d7eec4ca4d3db6e7876ac0c" ns2:_="">
    <xsd:import namespace="ec780974-a9ac-4783-9a36-f17d5002db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0974-a9ac-4783-9a36-f17d5002db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330F1-9CBE-433F-A030-3F8C4DECFF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03AF4-6F63-42FD-B426-6754F8B61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D2DAB-A5EB-4B01-AF11-139BD0A6E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0974-a9ac-4783-9a36-f17d5002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A7ADE-11E3-46AB-B162-CD670733D7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2022-04-15T10:45:00Z</dcterms:created>
  <dcterms:modified xsi:type="dcterms:W3CDTF">2022-04-15T15:39:00Z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0x01010098F40D6B1440394692CA8EFB89E3C637</vt:lpwstr>
  </property>
  <property fmtid="{D5CDD505-2E9C-101B-9397-08002B2CF9AE}" pid="3" name="MSIP_Label_5f8e15b7-6f05-4fc0-8e14-d18f010fea72_Enabled">
    <vt:lpwstr>true</vt:lpwstr>
  </property>
  <property fmtid="{D5CDD505-2E9C-101B-9397-08002B2CF9AE}" pid="4" name="MSIP_Label_5f8e15b7-6f05-4fc0-8e14-d18f010fea72_SetDate">
    <vt:lpwstr>2022-04-10T17:15:44Z</vt:lpwstr>
  </property>
  <property fmtid="{D5CDD505-2E9C-101B-9397-08002B2CF9AE}" pid="5" name="MSIP_Label_5f8e15b7-6f05-4fc0-8e14-d18f010fea72_Method">
    <vt:lpwstr>Privileged</vt:lpwstr>
  </property>
  <property fmtid="{D5CDD505-2E9C-101B-9397-08002B2CF9AE}" pid="6" name="MSIP_Label_5f8e15b7-6f05-4fc0-8e14-d18f010fea72_Name">
    <vt:lpwstr>Interno - Piè di pagina nascosto</vt:lpwstr>
  </property>
  <property fmtid="{D5CDD505-2E9C-101B-9397-08002B2CF9AE}" pid="7" name="MSIP_Label_5f8e15b7-6f05-4fc0-8e14-d18f010fea72_SiteId">
    <vt:lpwstr>42d0d02d-6286-465e-999b-31006231efb1</vt:lpwstr>
  </property>
  <property fmtid="{D5CDD505-2E9C-101B-9397-08002B2CF9AE}" pid="8" name="MSIP_Label_5f8e15b7-6f05-4fc0-8e14-d18f010fea72_ActionId">
    <vt:lpwstr>77a915e3-e877-4e12-8529-0ec8f3067d37</vt:lpwstr>
  </property>
  <property fmtid="{D5CDD505-2E9C-101B-9397-08002B2CF9AE}" pid="9" name="MSIP_Label_5f8e15b7-6f05-4fc0-8e14-d18f010fea72_ContentBits">
    <vt:lpwstr>0</vt:lpwstr>
  </property>
  <property fmtid="{D5CDD505-2E9C-101B-9397-08002B2CF9AE}" pid="10" name="x-AvivaClassification">
    <vt:lpwstr>Aviva-1nternal</vt:lpwstr>
  </property>
  <property fmtid="{D5CDD505-2E9C-101B-9397-08002B2CF9AE}" pid="11" name="AvivaClassification">
    <vt:lpwstr>Aviva-1nternal</vt:lpwstr>
  </property>
  <property fmtid="{D5CDD505-2E9C-101B-9397-08002B2CF9AE}" pid="12" name="MSIP_Label_5bf4bb52-9e9d-4296-940a-59002820a53c_Enabled">
    <vt:lpwstr>true</vt:lpwstr>
  </property>
  <property fmtid="{D5CDD505-2E9C-101B-9397-08002B2CF9AE}" pid="13" name="MSIP_Label_5bf4bb52-9e9d-4296-940a-59002820a53c_SetDate">
    <vt:lpwstr>2022-04-12T17:08:57Z</vt:lpwstr>
  </property>
  <property fmtid="{D5CDD505-2E9C-101B-9397-08002B2CF9AE}" pid="14" name="MSIP_Label_5bf4bb52-9e9d-4296-940a-59002820a53c_Method">
    <vt:lpwstr>Standard</vt:lpwstr>
  </property>
  <property fmtid="{D5CDD505-2E9C-101B-9397-08002B2CF9AE}" pid="15" name="MSIP_Label_5bf4bb52-9e9d-4296-940a-59002820a53c_Name">
    <vt:lpwstr>5bf4bb52-9e9d-4296-940a-59002820a53c</vt:lpwstr>
  </property>
  <property fmtid="{D5CDD505-2E9C-101B-9397-08002B2CF9AE}" pid="16" name="MSIP_Label_5bf4bb52-9e9d-4296-940a-59002820a53c_SiteId">
    <vt:lpwstr>cbeb3ecc-6f45-4183-b5a8-088140deae5d</vt:lpwstr>
  </property>
  <property fmtid="{D5CDD505-2E9C-101B-9397-08002B2CF9AE}" pid="17" name="MSIP_Label_5bf4bb52-9e9d-4296-940a-59002820a53c_ActionId">
    <vt:lpwstr>42771db4-b342-4b5f-be43-5f4b03507798</vt:lpwstr>
  </property>
  <property fmtid="{D5CDD505-2E9C-101B-9397-08002B2CF9AE}" pid="18" name="MSIP_Label_5bf4bb52-9e9d-4296-940a-59002820a53c_ContentBits">
    <vt:lpwstr>0</vt:lpwstr>
  </property>
</Properties>
</file>